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533DEEA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E943C3">
        <w:rPr>
          <w:rFonts w:ascii="HelveticaNeueLT Std" w:hAnsi="HelveticaNeueLT Std" w:cs="Arial"/>
          <w:b/>
          <w:bCs/>
          <w:sz w:val="20"/>
          <w:szCs w:val="20"/>
        </w:rPr>
        <w:t>abril</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F237A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F237A2">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3BF2C93E" w:rsidR="009A45CF" w:rsidRPr="000D4D13" w:rsidRDefault="00E943C3"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08</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25081E46" w:rsidR="009A45CF" w:rsidRPr="00B80921" w:rsidRDefault="00E943C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08-abril</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nil"/>
            </w:tcBorders>
          </w:tcPr>
          <w:p w14:paraId="482F86A1" w14:textId="77777777" w:rsidR="009F2391" w:rsidRDefault="009F2391"/>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9F2391" w14:paraId="2ABCE0F4" w14:textId="77777777" w:rsidTr="009F2391">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E943C3" w14:paraId="47BC17DA" w14:textId="77777777" w:rsidTr="00E943C3">
                    <w:trPr>
                      <w:tblCellSpacing w:w="0" w:type="dxa"/>
                    </w:trPr>
                    <w:tc>
                      <w:tcPr>
                        <w:tcW w:w="8832" w:type="dxa"/>
                        <w:shd w:val="clear" w:color="auto" w:fill="FFFFFF"/>
                        <w:vAlign w:val="center"/>
                        <w:hideMark/>
                      </w:tcPr>
                      <w:p w14:paraId="25650001" w14:textId="77777777" w:rsidR="00E943C3" w:rsidRDefault="00E943C3" w:rsidP="00E943C3">
                        <w:pPr>
                          <w:jc w:val="both"/>
                          <w:rPr>
                            <w:rFonts w:ascii="Arial" w:hAnsi="Arial" w:cs="Arial"/>
                            <w:color w:val="2F2F2F"/>
                            <w:sz w:val="22"/>
                            <w:szCs w:val="22"/>
                            <w:lang w:eastAsia="es-MX"/>
                          </w:rPr>
                        </w:pPr>
                        <w:hyperlink r:id="rId8" w:history="1">
                          <w:r w:rsidRPr="00E943C3">
                            <w:rPr>
                              <w:rFonts w:ascii="HelveticaNeueLT Std" w:hAnsi="HelveticaNeueLT Std"/>
                              <w:b/>
                              <w:bCs/>
                              <w:sz w:val="20"/>
                              <w:szCs w:val="20"/>
                            </w:rPr>
                            <w:t>Acuerdo por el que se da a conocer a los gobiernos de las entidades federativas la distribución y calendarización para la ministración durante el ejercicio fiscal 2022, de los recursos correspondientes al Fondo de Aportaciones para la Seguridad Pública de los Estados y del Distrito Federal.</w:t>
                          </w:r>
                        </w:hyperlink>
                      </w:p>
                    </w:tc>
                    <w:tc>
                      <w:tcPr>
                        <w:tcW w:w="6" w:type="dxa"/>
                        <w:shd w:val="clear" w:color="auto" w:fill="FFFFFF"/>
                        <w:vAlign w:val="center"/>
                        <w:hideMark/>
                      </w:tcPr>
                      <w:p w14:paraId="2EBDF065" w14:textId="77777777" w:rsidR="00E943C3" w:rsidRDefault="00E943C3" w:rsidP="00E943C3">
                        <w:pPr>
                          <w:rPr>
                            <w:rFonts w:ascii="Arial" w:hAnsi="Arial" w:cs="Arial"/>
                            <w:color w:val="2F2F2F"/>
                            <w:sz w:val="22"/>
                            <w:szCs w:val="22"/>
                          </w:rPr>
                        </w:pPr>
                      </w:p>
                    </w:tc>
                  </w:tr>
                  <w:tr w:rsidR="00E943C3" w14:paraId="4575E24B" w14:textId="77777777" w:rsidTr="00E943C3">
                    <w:trPr>
                      <w:trHeight w:val="180"/>
                      <w:tblCellSpacing w:w="0" w:type="dxa"/>
                    </w:trPr>
                    <w:tc>
                      <w:tcPr>
                        <w:tcW w:w="8832" w:type="dxa"/>
                        <w:shd w:val="clear" w:color="auto" w:fill="FFFFFF"/>
                        <w:hideMark/>
                      </w:tcPr>
                      <w:p w14:paraId="15EBD2C6" w14:textId="6736B04A" w:rsidR="00E943C3" w:rsidRDefault="00E943C3" w:rsidP="00E943C3">
                        <w:pPr>
                          <w:rPr>
                            <w:rFonts w:ascii="Arial" w:hAnsi="Arial" w:cs="Arial"/>
                            <w:color w:val="2F2F2F"/>
                            <w:sz w:val="22"/>
                            <w:szCs w:val="22"/>
                          </w:rPr>
                        </w:pPr>
                      </w:p>
                    </w:tc>
                    <w:tc>
                      <w:tcPr>
                        <w:tcW w:w="6" w:type="dxa"/>
                        <w:shd w:val="clear" w:color="auto" w:fill="FFFFFF"/>
                        <w:vAlign w:val="center"/>
                        <w:hideMark/>
                      </w:tcPr>
                      <w:p w14:paraId="1301C1D6" w14:textId="77777777" w:rsidR="00E943C3" w:rsidRDefault="00E943C3" w:rsidP="00E943C3">
                        <w:pPr>
                          <w:rPr>
                            <w:sz w:val="20"/>
                            <w:szCs w:val="20"/>
                          </w:rPr>
                        </w:pPr>
                      </w:p>
                    </w:tc>
                  </w:tr>
                </w:tbl>
                <w:p w14:paraId="2CDACAD9" w14:textId="47FBE4BC" w:rsidR="009F2391" w:rsidRDefault="009F2391" w:rsidP="009F2391">
                  <w:pPr>
                    <w:jc w:val="both"/>
                    <w:rPr>
                      <w:rFonts w:ascii="Arial" w:hAnsi="Arial" w:cs="Arial"/>
                      <w:color w:val="2F2F2F"/>
                      <w:sz w:val="22"/>
                      <w:szCs w:val="22"/>
                      <w:lang w:eastAsia="es-MX"/>
                    </w:rPr>
                  </w:pPr>
                </w:p>
              </w:tc>
              <w:tc>
                <w:tcPr>
                  <w:tcW w:w="20" w:type="dxa"/>
                  <w:shd w:val="clear" w:color="auto" w:fill="FFFFFF"/>
                  <w:vAlign w:val="center"/>
                  <w:hideMark/>
                </w:tcPr>
                <w:p w14:paraId="60A4BB93" w14:textId="77777777" w:rsidR="009F2391" w:rsidRDefault="009F2391" w:rsidP="009F2391">
                  <w:pPr>
                    <w:rPr>
                      <w:rFonts w:ascii="Arial" w:hAnsi="Arial" w:cs="Arial"/>
                      <w:color w:val="2F2F2F"/>
                      <w:sz w:val="22"/>
                      <w:szCs w:val="22"/>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bottom w:val="nil"/>
            </w:tcBorders>
          </w:tcPr>
          <w:p w14:paraId="608BA1DD" w14:textId="3DCB2B97" w:rsidR="009F2391" w:rsidRPr="00EB4A8D" w:rsidRDefault="009F2391" w:rsidP="00EB4A8D">
            <w:pPr>
              <w:jc w:val="both"/>
              <w:rPr>
                <w:rFonts w:ascii="HelveticaNeueLT Std Lt" w:hAnsi="HelveticaNeueLT Std Lt"/>
                <w:sz w:val="20"/>
                <w:lang w:eastAsia="es-MX"/>
              </w:rPr>
            </w:pPr>
            <w:r w:rsidRPr="00EB4A8D">
              <w:rPr>
                <w:rFonts w:ascii="HelveticaNeueLT Std Lt" w:eastAsia="Times New Roman" w:hAnsi="HelveticaNeueLT Std Lt" w:cs="Arial"/>
                <w:sz w:val="20"/>
                <w:szCs w:val="20"/>
                <w:lang w:eastAsia="es-MX"/>
              </w:rPr>
              <w:t xml:space="preserve"> </w:t>
            </w:r>
          </w:p>
        </w:tc>
      </w:tr>
      <w:tr w:rsidR="00EB4A8D" w:rsidRPr="000D4D13" w14:paraId="3E077FEB" w14:textId="77777777" w:rsidTr="00F237A2">
        <w:trPr>
          <w:trHeight w:val="277"/>
        </w:trPr>
        <w:tc>
          <w:tcPr>
            <w:tcW w:w="617" w:type="dxa"/>
            <w:tcBorders>
              <w:top w:val="nil"/>
              <w:bottom w:val="single" w:sz="4" w:space="0" w:color="auto"/>
            </w:tcBorders>
          </w:tcPr>
          <w:p w14:paraId="376ED50C" w14:textId="77777777" w:rsidR="00EB4A8D" w:rsidRPr="000D4D13" w:rsidRDefault="00EB4A8D" w:rsidP="00EB4A8D">
            <w:pPr>
              <w:spacing w:line="276" w:lineRule="auto"/>
              <w:jc w:val="center"/>
              <w:rPr>
                <w:rFonts w:ascii="HelveticaNeueLT Std" w:hAnsi="HelveticaNeueLT Std" w:cs="Arial"/>
                <w:b/>
                <w:bCs/>
                <w:sz w:val="20"/>
                <w:szCs w:val="20"/>
              </w:rPr>
            </w:pPr>
          </w:p>
          <w:p w14:paraId="43BDC3DD" w14:textId="7F807087" w:rsidR="00EB4A8D" w:rsidRPr="000D4D13" w:rsidRDefault="00EB4A8D" w:rsidP="00EB4A8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20</w:t>
            </w:r>
          </w:p>
        </w:tc>
        <w:tc>
          <w:tcPr>
            <w:tcW w:w="2127" w:type="dxa"/>
            <w:tcBorders>
              <w:top w:val="nil"/>
              <w:bottom w:val="single" w:sz="4" w:space="0" w:color="auto"/>
            </w:tcBorders>
          </w:tcPr>
          <w:p w14:paraId="5F8D89FE"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3F3BA5A" w14:textId="53BA5C00"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22</w:t>
            </w:r>
            <w:r>
              <w:rPr>
                <w:rFonts w:ascii="HelveticaNeueLT Std" w:eastAsia="MS Mincho" w:hAnsi="HelveticaNeueLT Std"/>
                <w:bCs/>
                <w:sz w:val="20"/>
                <w:szCs w:val="20"/>
                <w:lang w:eastAsia="en-US"/>
              </w:rPr>
              <w:t>-abril</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4840E9CF"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D567F3D"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20FBFE9" w14:textId="7A5C4D94"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tcBorders>
          </w:tcPr>
          <w:p w14:paraId="421921DF"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93552A2"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6DAFFCE5" w14:textId="77777777"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1424A8E" w14:textId="1385DA8D" w:rsidR="00EB4A8D" w:rsidRPr="00B80921" w:rsidRDefault="00EB4A8D"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EB4A8D" w14:paraId="4D83CD28" w14:textId="77777777" w:rsidTr="00EB4A8D">
              <w:trPr>
                <w:tblCellSpacing w:w="0" w:type="dxa"/>
              </w:trPr>
              <w:tc>
                <w:tcPr>
                  <w:tcW w:w="8832" w:type="dxa"/>
                  <w:shd w:val="clear" w:color="auto" w:fill="FFFFFF"/>
                  <w:vAlign w:val="center"/>
                  <w:hideMark/>
                </w:tcPr>
                <w:p w14:paraId="4CCAAB41" w14:textId="77777777" w:rsidR="00EB4A8D" w:rsidRDefault="00EB4A8D" w:rsidP="00EB4A8D">
                  <w:pPr>
                    <w:jc w:val="both"/>
                    <w:rPr>
                      <w:rFonts w:ascii="Arial" w:hAnsi="Arial" w:cs="Arial"/>
                      <w:color w:val="2F2F2F"/>
                      <w:sz w:val="22"/>
                      <w:szCs w:val="22"/>
                      <w:lang w:eastAsia="es-MX"/>
                    </w:rPr>
                  </w:pPr>
                  <w:hyperlink r:id="rId9" w:history="1">
                    <w:r w:rsidRPr="00EB4A8D">
                      <w:rPr>
                        <w:rFonts w:ascii="HelveticaNeueLT Std" w:hAnsi="HelveticaNeueLT Std"/>
                        <w:b/>
                        <w:bCs/>
                        <w:sz w:val="20"/>
                        <w:szCs w:val="20"/>
                      </w:rPr>
                      <w:t>Lineamientos Generales para llevar a cabo el proceso de validación del impuesto sobre la renta participable conforme al artículo 3-B de la Ley de Coordinación Fiscal.</w:t>
                    </w:r>
                  </w:hyperlink>
                </w:p>
              </w:tc>
              <w:tc>
                <w:tcPr>
                  <w:tcW w:w="6" w:type="dxa"/>
                  <w:shd w:val="clear" w:color="auto" w:fill="FFFFFF"/>
                  <w:vAlign w:val="center"/>
                  <w:hideMark/>
                </w:tcPr>
                <w:p w14:paraId="1618B927" w14:textId="77777777" w:rsidR="00EB4A8D" w:rsidRDefault="00EB4A8D" w:rsidP="00EB4A8D">
                  <w:pPr>
                    <w:rPr>
                      <w:rFonts w:ascii="Arial" w:hAnsi="Arial" w:cs="Arial"/>
                      <w:color w:val="2F2F2F"/>
                      <w:sz w:val="22"/>
                      <w:szCs w:val="22"/>
                    </w:rPr>
                  </w:pPr>
                </w:p>
              </w:tc>
            </w:tr>
            <w:tr w:rsidR="00EB4A8D" w14:paraId="730838AF" w14:textId="77777777" w:rsidTr="00EB4A8D">
              <w:trPr>
                <w:trHeight w:val="180"/>
                <w:tblCellSpacing w:w="0" w:type="dxa"/>
              </w:trPr>
              <w:tc>
                <w:tcPr>
                  <w:tcW w:w="8832" w:type="dxa"/>
                  <w:shd w:val="clear" w:color="auto" w:fill="FFFFFF"/>
                  <w:hideMark/>
                </w:tcPr>
                <w:p w14:paraId="54625604" w14:textId="38076C94" w:rsidR="00EB4A8D" w:rsidRDefault="00EB4A8D" w:rsidP="00EB4A8D">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4F5D63CE" wp14:editId="71788807">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5B8AB32A" w14:textId="77777777" w:rsidR="00EB4A8D" w:rsidRDefault="00EB4A8D" w:rsidP="00EB4A8D">
                  <w:pPr>
                    <w:rPr>
                      <w:sz w:val="20"/>
                      <w:szCs w:val="20"/>
                    </w:rPr>
                  </w:pPr>
                </w:p>
              </w:tc>
            </w:tr>
          </w:tbl>
          <w:p w14:paraId="3732D532" w14:textId="77777777" w:rsidR="00EB4A8D" w:rsidRDefault="00EB4A8D" w:rsidP="00EB4A8D"/>
        </w:tc>
        <w:tc>
          <w:tcPr>
            <w:tcW w:w="5812" w:type="dxa"/>
            <w:tcBorders>
              <w:top w:val="nil"/>
            </w:tcBorders>
          </w:tcPr>
          <w:p w14:paraId="682F6BA3" w14:textId="77777777" w:rsidR="00EB4A8D" w:rsidRDefault="00EB4A8D" w:rsidP="00EB4A8D">
            <w:pPr>
              <w:jc w:val="both"/>
              <w:rPr>
                <w:rFonts w:ascii="Arial" w:hAnsi="Arial"/>
                <w:color w:val="000000"/>
                <w:sz w:val="18"/>
                <w:szCs w:val="18"/>
                <w:lang w:val="es-ES" w:eastAsia="es-ES"/>
              </w:rPr>
            </w:pPr>
            <w:r>
              <w:rPr>
                <w:rFonts w:ascii="Arial" w:hAnsi="Arial"/>
                <w:color w:val="000000"/>
                <w:sz w:val="18"/>
                <w:szCs w:val="18"/>
                <w:lang w:val="es-ES" w:eastAsia="es-ES"/>
              </w:rPr>
              <w:t xml:space="preserve">A través de los presente lineamientos se establece: </w:t>
            </w:r>
          </w:p>
          <w:p w14:paraId="49A4E967" w14:textId="77777777" w:rsidR="00EB4A8D" w:rsidRDefault="00EB4A8D" w:rsidP="00EB4A8D">
            <w:pPr>
              <w:jc w:val="both"/>
              <w:rPr>
                <w:rFonts w:ascii="Arial" w:hAnsi="Arial"/>
                <w:color w:val="000000"/>
                <w:sz w:val="18"/>
                <w:szCs w:val="18"/>
                <w:lang w:val="es-ES" w:eastAsia="es-ES"/>
              </w:rPr>
            </w:pPr>
          </w:p>
          <w:p w14:paraId="032AFF36" w14:textId="5AA872EC" w:rsidR="00EB4A8D" w:rsidRDefault="00EB4A8D" w:rsidP="00EB4A8D">
            <w:pPr>
              <w:pStyle w:val="Prrafodelista"/>
              <w:numPr>
                <w:ilvl w:val="0"/>
                <w:numId w:val="4"/>
              </w:numPr>
              <w:jc w:val="both"/>
              <w:rPr>
                <w:rFonts w:ascii="Arial" w:hAnsi="Arial"/>
                <w:color w:val="000000"/>
                <w:sz w:val="18"/>
                <w:szCs w:val="18"/>
                <w:lang w:val="es-ES" w:eastAsia="es-ES"/>
              </w:rPr>
            </w:pPr>
            <w:r w:rsidRPr="00EB4A8D">
              <w:rPr>
                <w:rFonts w:ascii="Arial" w:hAnsi="Arial"/>
                <w:color w:val="000000"/>
                <w:sz w:val="18"/>
                <w:szCs w:val="18"/>
                <w:lang w:val="es-ES" w:eastAsia="es-ES"/>
              </w:rPr>
              <w:t>Los presentes Lineamientos tienen por objeto regular y establecer las disposiciones generales para la validación del impuesto sobre la renta participable para efectos de lo dispuesto en el artículo 3-B de la Ley de Coordinación Fiscal, conforme a los criterios de legalidad, honestidad, eficiencia, eficacia, transparencia, control y rendición de cuentas.</w:t>
            </w:r>
          </w:p>
          <w:p w14:paraId="0B4DA386" w14:textId="77777777" w:rsidR="00EB4A8D" w:rsidRDefault="00EB4A8D" w:rsidP="00EB4A8D">
            <w:pPr>
              <w:pStyle w:val="Prrafodelista"/>
              <w:jc w:val="both"/>
              <w:rPr>
                <w:rFonts w:ascii="Arial" w:hAnsi="Arial"/>
                <w:color w:val="000000"/>
                <w:sz w:val="18"/>
                <w:szCs w:val="18"/>
                <w:lang w:val="es-ES" w:eastAsia="es-ES"/>
              </w:rPr>
            </w:pPr>
          </w:p>
          <w:p w14:paraId="65DB069C" w14:textId="77777777" w:rsidR="00EB4A8D" w:rsidRPr="00F237A2" w:rsidRDefault="00EB4A8D" w:rsidP="00EB4A8D">
            <w:pPr>
              <w:pStyle w:val="Prrafodelista"/>
              <w:numPr>
                <w:ilvl w:val="0"/>
                <w:numId w:val="4"/>
              </w:numPr>
              <w:jc w:val="both"/>
              <w:rPr>
                <w:rFonts w:ascii="Arial" w:hAnsi="Arial"/>
                <w:color w:val="000000"/>
                <w:sz w:val="18"/>
                <w:szCs w:val="18"/>
                <w:lang w:val="es-ES" w:eastAsia="es-ES"/>
              </w:rPr>
            </w:pPr>
            <w:r w:rsidRPr="00F237A2">
              <w:rPr>
                <w:rFonts w:ascii="Arial" w:hAnsi="Arial"/>
                <w:color w:val="000000"/>
                <w:sz w:val="18"/>
                <w:szCs w:val="18"/>
                <w:lang w:val="es-ES" w:eastAsia="es-ES"/>
              </w:rPr>
              <w:t xml:space="preserve">La </w:t>
            </w:r>
            <w:r w:rsidR="00F237A2" w:rsidRPr="00F237A2">
              <w:rPr>
                <w:rFonts w:ascii="Arial" w:hAnsi="Arial"/>
                <w:color w:val="000000"/>
                <w:sz w:val="18"/>
                <w:szCs w:val="18"/>
                <w:lang w:val="es-ES" w:eastAsia="es-ES"/>
              </w:rPr>
              <w:t>Unidad de Coordinación con Entidades Federativas</w:t>
            </w:r>
            <w:r w:rsidRPr="00F237A2">
              <w:rPr>
                <w:rFonts w:ascii="Arial" w:hAnsi="Arial"/>
                <w:color w:val="000000"/>
                <w:sz w:val="18"/>
                <w:szCs w:val="18"/>
                <w:lang w:val="es-ES" w:eastAsia="es-ES"/>
              </w:rPr>
              <w:t xml:space="preserve"> administrará e integrará el padrón de Entes Públicos considerados para el Proceso de Validación del </w:t>
            </w:r>
            <w:proofErr w:type="spellStart"/>
            <w:r w:rsidRPr="00F237A2">
              <w:rPr>
                <w:rFonts w:ascii="Arial" w:hAnsi="Arial"/>
                <w:color w:val="000000"/>
                <w:sz w:val="18"/>
                <w:szCs w:val="18"/>
                <w:lang w:val="es-ES" w:eastAsia="es-ES"/>
              </w:rPr>
              <w:t>ISR</w:t>
            </w:r>
            <w:proofErr w:type="spellEnd"/>
            <w:r w:rsidRPr="00F237A2">
              <w:rPr>
                <w:rFonts w:ascii="Arial" w:hAnsi="Arial"/>
                <w:color w:val="000000"/>
                <w:sz w:val="18"/>
                <w:szCs w:val="18"/>
                <w:lang w:val="es-ES" w:eastAsia="es-ES"/>
              </w:rPr>
              <w:t xml:space="preserve"> participable,</w:t>
            </w:r>
            <w:r>
              <w:rPr>
                <w:rFonts w:ascii="Arial" w:hAnsi="Arial" w:cs="Arial"/>
                <w:color w:val="000000"/>
                <w:sz w:val="18"/>
                <w:szCs w:val="18"/>
                <w:shd w:val="clear" w:color="auto" w:fill="FFFFFF"/>
              </w:rPr>
              <w:t xml:space="preserve"> que concentra la información que las Entidades Federativas proporcionen de los Entes Públicos, al cual dará acceso al </w:t>
            </w:r>
            <w:proofErr w:type="spellStart"/>
            <w:r>
              <w:rPr>
                <w:rFonts w:ascii="Arial" w:hAnsi="Arial" w:cs="Arial"/>
                <w:color w:val="000000"/>
                <w:sz w:val="18"/>
                <w:szCs w:val="18"/>
                <w:shd w:val="clear" w:color="auto" w:fill="FFFFFF"/>
              </w:rPr>
              <w:t>SAT</w:t>
            </w:r>
            <w:proofErr w:type="spellEnd"/>
            <w:r>
              <w:rPr>
                <w:rFonts w:ascii="Arial" w:hAnsi="Arial" w:cs="Arial"/>
                <w:color w:val="000000"/>
                <w:sz w:val="18"/>
                <w:szCs w:val="18"/>
                <w:shd w:val="clear" w:color="auto" w:fill="FFFFFF"/>
              </w:rPr>
              <w:t xml:space="preserve"> para el ejercicio de sus atribuciones.</w:t>
            </w:r>
          </w:p>
          <w:p w14:paraId="1C986F50" w14:textId="77777777" w:rsidR="00F237A2" w:rsidRPr="00F237A2" w:rsidRDefault="00F237A2" w:rsidP="00F237A2">
            <w:pPr>
              <w:pStyle w:val="Prrafodelista"/>
              <w:rPr>
                <w:rFonts w:ascii="Arial" w:hAnsi="Arial"/>
                <w:color w:val="000000"/>
                <w:sz w:val="18"/>
                <w:szCs w:val="18"/>
                <w:lang w:val="es-ES" w:eastAsia="es-ES"/>
              </w:rPr>
            </w:pPr>
          </w:p>
          <w:p w14:paraId="0D393F4C" w14:textId="77777777" w:rsidR="00F237A2" w:rsidRDefault="00F237A2" w:rsidP="00F237A2">
            <w:pPr>
              <w:pStyle w:val="Prrafodelista"/>
              <w:jc w:val="both"/>
              <w:rPr>
                <w:rFonts w:ascii="Arial" w:hAnsi="Arial"/>
                <w:color w:val="000000"/>
                <w:sz w:val="18"/>
                <w:szCs w:val="18"/>
                <w:lang w:val="es-ES" w:eastAsia="es-ES"/>
              </w:rPr>
            </w:pPr>
          </w:p>
          <w:p w14:paraId="3429AE11" w14:textId="266F0C57" w:rsidR="00F237A2" w:rsidRPr="00EB4A8D" w:rsidRDefault="00F237A2" w:rsidP="00F237A2">
            <w:pPr>
              <w:pStyle w:val="Prrafodelista"/>
              <w:jc w:val="both"/>
              <w:rPr>
                <w:rFonts w:ascii="Arial" w:hAnsi="Arial"/>
                <w:color w:val="000000"/>
                <w:sz w:val="18"/>
                <w:szCs w:val="18"/>
                <w:lang w:val="es-ES" w:eastAsia="es-ES"/>
              </w:rPr>
            </w:pPr>
          </w:p>
        </w:tc>
      </w:tr>
      <w:tr w:rsidR="00F237A2" w:rsidRPr="000D4D13" w14:paraId="35EBB821" w14:textId="77777777" w:rsidTr="00FD46EE">
        <w:trPr>
          <w:trHeight w:val="277"/>
        </w:trPr>
        <w:tc>
          <w:tcPr>
            <w:tcW w:w="617" w:type="dxa"/>
            <w:tcBorders>
              <w:top w:val="single" w:sz="4" w:space="0" w:color="auto"/>
              <w:bottom w:val="single" w:sz="4" w:space="0" w:color="auto"/>
            </w:tcBorders>
          </w:tcPr>
          <w:p w14:paraId="4724C103" w14:textId="77777777" w:rsidR="00F237A2" w:rsidRPr="000D4D13" w:rsidRDefault="00F237A2" w:rsidP="00EB4A8D">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680D5EFD" w14:textId="77777777" w:rsidR="00F237A2" w:rsidRPr="00B80921" w:rsidRDefault="00F237A2"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Pr>
          <w:p w14:paraId="6401F403" w14:textId="77777777" w:rsidR="00F237A2" w:rsidRPr="00B80921" w:rsidRDefault="00F237A2"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39FB0AB4" w14:textId="77777777" w:rsidR="00F237A2" w:rsidRPr="00EB4A8D" w:rsidRDefault="00F237A2" w:rsidP="00EB4A8D">
            <w:pPr>
              <w:jc w:val="both"/>
              <w:rPr>
                <w:rFonts w:ascii="HelveticaNeueLT Std" w:hAnsi="HelveticaNeueLT Std"/>
                <w:b/>
                <w:bCs/>
                <w:sz w:val="20"/>
                <w:szCs w:val="20"/>
              </w:rPr>
            </w:pPr>
          </w:p>
        </w:tc>
        <w:tc>
          <w:tcPr>
            <w:tcW w:w="5812" w:type="dxa"/>
          </w:tcPr>
          <w:p w14:paraId="0CE458BC" w14:textId="06BC834B" w:rsidR="00F237A2" w:rsidRPr="00F237A2" w:rsidRDefault="00F237A2" w:rsidP="00F237A2">
            <w:pPr>
              <w:pStyle w:val="Prrafodelista"/>
              <w:numPr>
                <w:ilvl w:val="0"/>
                <w:numId w:val="4"/>
              </w:numPr>
              <w:shd w:val="clear" w:color="auto" w:fill="FFFFFF"/>
              <w:jc w:val="both"/>
              <w:rPr>
                <w:rFonts w:ascii="Arial" w:eastAsia="Times New Roman" w:hAnsi="Arial" w:cs="Arial"/>
                <w:color w:val="000000"/>
                <w:sz w:val="18"/>
                <w:szCs w:val="18"/>
                <w:lang w:eastAsia="es-MX"/>
              </w:rPr>
            </w:pPr>
            <w:r w:rsidRPr="00F237A2">
              <w:rPr>
                <w:rFonts w:ascii="Arial" w:eastAsia="Times New Roman" w:hAnsi="Arial" w:cs="Arial"/>
                <w:color w:val="000000"/>
                <w:sz w:val="18"/>
                <w:szCs w:val="18"/>
                <w:lang w:eastAsia="es-MX"/>
              </w:rPr>
              <w:t xml:space="preserve">Para que el </w:t>
            </w:r>
            <w:proofErr w:type="spellStart"/>
            <w:r w:rsidRPr="00F237A2">
              <w:rPr>
                <w:rFonts w:ascii="Arial" w:eastAsia="Times New Roman" w:hAnsi="Arial" w:cs="Arial"/>
                <w:color w:val="000000"/>
                <w:sz w:val="18"/>
                <w:szCs w:val="18"/>
                <w:lang w:eastAsia="es-MX"/>
              </w:rPr>
              <w:t>SAT</w:t>
            </w:r>
            <w:proofErr w:type="spellEnd"/>
            <w:r w:rsidRPr="00F237A2">
              <w:rPr>
                <w:rFonts w:ascii="Arial" w:eastAsia="Times New Roman" w:hAnsi="Arial" w:cs="Arial"/>
                <w:color w:val="000000"/>
                <w:sz w:val="18"/>
                <w:szCs w:val="18"/>
                <w:lang w:eastAsia="es-MX"/>
              </w:rPr>
              <w:t xml:space="preserve"> pueda llevar a cabo el Proceso de Validación, verificará que los Entes Públicos que se den de alta en el padrón cumplan con los siguientes requisitos:</w:t>
            </w:r>
          </w:p>
          <w:p w14:paraId="090582C8" w14:textId="77777777" w:rsidR="00F237A2" w:rsidRPr="00F237A2" w:rsidRDefault="00F237A2" w:rsidP="00F237A2">
            <w:pPr>
              <w:shd w:val="clear" w:color="auto" w:fill="FFFFFF"/>
              <w:jc w:val="both"/>
              <w:rPr>
                <w:rFonts w:ascii="Arial" w:eastAsia="Times New Roman" w:hAnsi="Arial" w:cs="Arial"/>
                <w:color w:val="2F2F2F"/>
                <w:sz w:val="18"/>
                <w:szCs w:val="18"/>
                <w:lang w:eastAsia="es-MX"/>
              </w:rPr>
            </w:pPr>
          </w:p>
          <w:p w14:paraId="2F2CC9B0" w14:textId="28307340"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2F2F2F"/>
                <w:sz w:val="20"/>
                <w:szCs w:val="20"/>
                <w:lang w:eastAsia="es-MX"/>
              </w:rPr>
              <w:t xml:space="preserve">1. </w:t>
            </w:r>
            <w:r w:rsidRPr="00F237A2">
              <w:rPr>
                <w:rFonts w:ascii="Arial" w:eastAsia="Times New Roman" w:hAnsi="Arial" w:cs="Arial"/>
                <w:color w:val="000000"/>
                <w:sz w:val="18"/>
                <w:szCs w:val="18"/>
                <w:lang w:eastAsia="es-MX"/>
              </w:rPr>
              <w:t>Contar con Certificado de Sello Digital y Certificado de la Firma Electrónica Avanzada (</w:t>
            </w:r>
            <w:proofErr w:type="spellStart"/>
            <w:proofErr w:type="gramStart"/>
            <w:r w:rsidRPr="00F237A2">
              <w:rPr>
                <w:rFonts w:ascii="Arial" w:eastAsia="Times New Roman" w:hAnsi="Arial" w:cs="Arial"/>
                <w:color w:val="000000"/>
                <w:sz w:val="18"/>
                <w:szCs w:val="18"/>
                <w:lang w:eastAsia="es-MX"/>
              </w:rPr>
              <w:t>e.firma</w:t>
            </w:r>
            <w:proofErr w:type="spellEnd"/>
            <w:proofErr w:type="gramEnd"/>
            <w:r w:rsidRPr="00F237A2">
              <w:rPr>
                <w:rFonts w:ascii="Arial" w:eastAsia="Times New Roman" w:hAnsi="Arial" w:cs="Arial"/>
                <w:color w:val="000000"/>
                <w:sz w:val="18"/>
                <w:szCs w:val="18"/>
                <w:lang w:eastAsia="es-MX"/>
              </w:rPr>
              <w:t>) vigente;</w:t>
            </w:r>
          </w:p>
          <w:p w14:paraId="56D13726" w14:textId="77777777"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2F2F2F"/>
                <w:sz w:val="20"/>
                <w:szCs w:val="20"/>
                <w:lang w:eastAsia="es-MX"/>
              </w:rPr>
              <w:t xml:space="preserve">2. </w:t>
            </w:r>
            <w:r w:rsidRPr="00F237A2">
              <w:rPr>
                <w:rFonts w:ascii="Arial" w:eastAsia="Times New Roman" w:hAnsi="Arial" w:cs="Arial"/>
                <w:color w:val="000000"/>
                <w:sz w:val="18"/>
                <w:szCs w:val="18"/>
                <w:lang w:eastAsia="es-MX"/>
              </w:rPr>
              <w:t>Tener habilitado su Buzón Tributario, así como registrar y mantener actualizados los medios de contacto respectivos;</w:t>
            </w:r>
          </w:p>
          <w:p w14:paraId="1821A3FC" w14:textId="77777777"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2F2F2F"/>
                <w:sz w:val="20"/>
                <w:szCs w:val="20"/>
                <w:lang w:eastAsia="es-MX"/>
              </w:rPr>
              <w:t>3. </w:t>
            </w:r>
            <w:r w:rsidRPr="00F237A2">
              <w:rPr>
                <w:rFonts w:ascii="Arial" w:eastAsia="Times New Roman" w:hAnsi="Arial" w:cs="Arial"/>
                <w:color w:val="000000"/>
                <w:sz w:val="18"/>
                <w:szCs w:val="18"/>
                <w:lang w:eastAsia="es-MX"/>
              </w:rPr>
              <w:t xml:space="preserve">Tener actualizados sus datos en el </w:t>
            </w:r>
            <w:proofErr w:type="spellStart"/>
            <w:r w:rsidRPr="00F237A2">
              <w:rPr>
                <w:rFonts w:ascii="Arial" w:eastAsia="Times New Roman" w:hAnsi="Arial" w:cs="Arial"/>
                <w:color w:val="000000"/>
                <w:sz w:val="18"/>
                <w:szCs w:val="18"/>
                <w:lang w:eastAsia="es-MX"/>
              </w:rPr>
              <w:t>RFC</w:t>
            </w:r>
            <w:proofErr w:type="spellEnd"/>
            <w:r w:rsidRPr="00F237A2">
              <w:rPr>
                <w:rFonts w:ascii="Arial" w:eastAsia="Times New Roman" w:hAnsi="Arial" w:cs="Arial"/>
                <w:color w:val="000000"/>
                <w:sz w:val="18"/>
                <w:szCs w:val="18"/>
                <w:lang w:eastAsia="es-MX"/>
              </w:rPr>
              <w:t>, y</w:t>
            </w:r>
            <w:r w:rsidRPr="00F237A2">
              <w:rPr>
                <w:rFonts w:ascii="Arial" w:eastAsia="Times New Roman" w:hAnsi="Arial" w:cs="Arial"/>
                <w:color w:val="2F2F2F"/>
                <w:sz w:val="20"/>
                <w:szCs w:val="20"/>
                <w:lang w:eastAsia="es-MX"/>
              </w:rPr>
              <w:t>  </w:t>
            </w:r>
          </w:p>
          <w:p w14:paraId="7EC73C58" w14:textId="3ACCC7CB"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Pr>
                <w:rFonts w:ascii="Arial" w:eastAsia="Times New Roman" w:hAnsi="Arial" w:cs="Arial"/>
                <w:color w:val="2F2F2F"/>
                <w:sz w:val="20"/>
                <w:szCs w:val="20"/>
                <w:lang w:eastAsia="es-MX"/>
              </w:rPr>
              <w:t xml:space="preserve">4. </w:t>
            </w:r>
            <w:r w:rsidRPr="00F237A2">
              <w:rPr>
                <w:rFonts w:ascii="Arial" w:eastAsia="Times New Roman" w:hAnsi="Arial" w:cs="Arial"/>
                <w:color w:val="000000"/>
                <w:sz w:val="18"/>
                <w:szCs w:val="18"/>
                <w:lang w:eastAsia="es-MX"/>
              </w:rPr>
              <w:t xml:space="preserve">Expedir los </w:t>
            </w:r>
            <w:proofErr w:type="spellStart"/>
            <w:r w:rsidRPr="00F237A2">
              <w:rPr>
                <w:rFonts w:ascii="Arial" w:eastAsia="Times New Roman" w:hAnsi="Arial" w:cs="Arial"/>
                <w:color w:val="000000"/>
                <w:sz w:val="18"/>
                <w:szCs w:val="18"/>
                <w:lang w:eastAsia="es-MX"/>
              </w:rPr>
              <w:t>CFDI</w:t>
            </w:r>
            <w:proofErr w:type="spellEnd"/>
            <w:r w:rsidRPr="00F237A2">
              <w:rPr>
                <w:rFonts w:ascii="Arial" w:eastAsia="Times New Roman" w:hAnsi="Arial" w:cs="Arial"/>
                <w:color w:val="000000"/>
                <w:sz w:val="18"/>
                <w:szCs w:val="18"/>
                <w:lang w:eastAsia="es-MX"/>
              </w:rPr>
              <w:t xml:space="preserve"> por concepto de sueldos y salarios y asimilados a salarios.</w:t>
            </w:r>
          </w:p>
          <w:p w14:paraId="5DD822D7" w14:textId="77777777" w:rsidR="00F237A2" w:rsidRDefault="00F237A2" w:rsidP="00EB4A8D">
            <w:pPr>
              <w:jc w:val="both"/>
              <w:rPr>
                <w:rFonts w:ascii="Arial" w:hAnsi="Arial"/>
                <w:color w:val="000000"/>
                <w:sz w:val="18"/>
                <w:szCs w:val="18"/>
                <w:lang w:val="es-ES" w:eastAsia="es-ES"/>
              </w:rPr>
            </w:pPr>
          </w:p>
          <w:p w14:paraId="0670231B" w14:textId="77777777" w:rsidR="00F237A2" w:rsidRPr="00F237A2" w:rsidRDefault="00F237A2" w:rsidP="00F237A2">
            <w:pPr>
              <w:pStyle w:val="Prrafodelista"/>
              <w:numPr>
                <w:ilvl w:val="0"/>
                <w:numId w:val="4"/>
              </w:numPr>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000000"/>
                <w:sz w:val="18"/>
                <w:szCs w:val="18"/>
                <w:lang w:eastAsia="es-MX"/>
              </w:rPr>
              <w:t xml:space="preserve">El </w:t>
            </w:r>
            <w:proofErr w:type="spellStart"/>
            <w:r w:rsidRPr="00F237A2">
              <w:rPr>
                <w:rFonts w:ascii="Arial" w:eastAsia="Times New Roman" w:hAnsi="Arial" w:cs="Arial"/>
                <w:color w:val="000000"/>
                <w:sz w:val="18"/>
                <w:szCs w:val="18"/>
                <w:lang w:eastAsia="es-MX"/>
              </w:rPr>
              <w:t>SAT</w:t>
            </w:r>
            <w:proofErr w:type="spellEnd"/>
            <w:r w:rsidRPr="00F237A2">
              <w:rPr>
                <w:rFonts w:ascii="Arial" w:eastAsia="Times New Roman" w:hAnsi="Arial" w:cs="Arial"/>
                <w:color w:val="000000"/>
                <w:sz w:val="18"/>
                <w:szCs w:val="18"/>
                <w:lang w:eastAsia="es-MX"/>
              </w:rPr>
              <w:t xml:space="preserve"> efectuará el Proceso de Validación del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participable mediante la revisión de las retenciones por concepto de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que realizan los Entes Públicos conforme a los </w:t>
            </w:r>
            <w:proofErr w:type="spellStart"/>
            <w:r w:rsidRPr="00F237A2">
              <w:rPr>
                <w:rFonts w:ascii="Arial" w:eastAsia="Times New Roman" w:hAnsi="Arial" w:cs="Arial"/>
                <w:color w:val="000000"/>
                <w:sz w:val="18"/>
                <w:szCs w:val="18"/>
                <w:lang w:eastAsia="es-MX"/>
              </w:rPr>
              <w:t>CFDI</w:t>
            </w:r>
            <w:proofErr w:type="spellEnd"/>
            <w:r w:rsidRPr="00F237A2">
              <w:rPr>
                <w:rFonts w:ascii="Arial" w:eastAsia="Times New Roman" w:hAnsi="Arial" w:cs="Arial"/>
                <w:color w:val="000000"/>
                <w:sz w:val="18"/>
                <w:szCs w:val="18"/>
                <w:lang w:eastAsia="es-MX"/>
              </w:rPr>
              <w:t xml:space="preserve"> que éstos emitan al personal que preste o desempeñe un servicio personal subordinado en dichos Entes, comparados contra el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enterado y pagado a la Federación a través de las declaraciones correspondientes.</w:t>
            </w:r>
          </w:p>
          <w:p w14:paraId="65C0B2FE" w14:textId="77777777"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p>
          <w:p w14:paraId="16FF832D" w14:textId="6D6C1078"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000000"/>
                <w:sz w:val="18"/>
                <w:szCs w:val="18"/>
                <w:lang w:eastAsia="es-MX"/>
              </w:rPr>
              <w:t xml:space="preserve">El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participable será susceptible de validación siempre que el salario sea efectivamente pagado con cargo a sus participaciones u otros ingresos locales.</w:t>
            </w:r>
          </w:p>
          <w:p w14:paraId="55BFF37C" w14:textId="77777777"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p>
          <w:p w14:paraId="635809F2" w14:textId="43D4CCC1"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000000"/>
                <w:sz w:val="18"/>
                <w:szCs w:val="18"/>
                <w:lang w:eastAsia="es-MX"/>
              </w:rPr>
              <w:t xml:space="preserve">No serán susceptibles de validación aquellos </w:t>
            </w:r>
            <w:proofErr w:type="spellStart"/>
            <w:r w:rsidRPr="00F237A2">
              <w:rPr>
                <w:rFonts w:ascii="Arial" w:eastAsia="Times New Roman" w:hAnsi="Arial" w:cs="Arial"/>
                <w:color w:val="000000"/>
                <w:sz w:val="18"/>
                <w:szCs w:val="18"/>
                <w:lang w:eastAsia="es-MX"/>
              </w:rPr>
              <w:t>CFDI</w:t>
            </w:r>
            <w:proofErr w:type="spellEnd"/>
            <w:r w:rsidRPr="00F237A2">
              <w:rPr>
                <w:rFonts w:ascii="Arial" w:eastAsia="Times New Roman" w:hAnsi="Arial" w:cs="Arial"/>
                <w:color w:val="000000"/>
                <w:sz w:val="18"/>
                <w:szCs w:val="18"/>
                <w:lang w:eastAsia="es-MX"/>
              </w:rPr>
              <w:t xml:space="preserve"> en donde se identifique que se hayan realizado cambios en el origen de los recursos con los cuales se paga el salario de sus trabajadores.</w:t>
            </w:r>
          </w:p>
          <w:p w14:paraId="119C546E" w14:textId="77777777"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p>
          <w:p w14:paraId="43827662" w14:textId="4328DC68"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000000"/>
                <w:sz w:val="18"/>
                <w:szCs w:val="18"/>
                <w:lang w:eastAsia="es-MX"/>
              </w:rPr>
              <w:t xml:space="preserve">Para la validación del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participable sólo se considerará el importe de los pagos efectivamente realizados que correspondan a la contribución y actualizaciones, excluyendo los montos por concepto de recargos y otros accesorios, así como las compensaciones o aplicaciones efectuadas.</w:t>
            </w:r>
          </w:p>
          <w:p w14:paraId="283CED85" w14:textId="77777777" w:rsidR="00F237A2" w:rsidRDefault="00F237A2" w:rsidP="00F237A2">
            <w:pPr>
              <w:pStyle w:val="Prrafodelista"/>
              <w:shd w:val="clear" w:color="auto" w:fill="FFFFFF"/>
              <w:jc w:val="both"/>
              <w:rPr>
                <w:rFonts w:ascii="Arial" w:eastAsia="Times New Roman" w:hAnsi="Arial" w:cs="Arial"/>
                <w:color w:val="000000"/>
                <w:sz w:val="18"/>
                <w:szCs w:val="18"/>
                <w:lang w:eastAsia="es-MX"/>
              </w:rPr>
            </w:pPr>
          </w:p>
          <w:p w14:paraId="692BF2C3" w14:textId="6AE68303" w:rsidR="00F237A2" w:rsidRPr="00F237A2" w:rsidRDefault="00F237A2" w:rsidP="00F237A2">
            <w:pPr>
              <w:pStyle w:val="Prrafodelista"/>
              <w:shd w:val="clear" w:color="auto" w:fill="FFFFFF"/>
              <w:jc w:val="both"/>
              <w:rPr>
                <w:rFonts w:ascii="Arial" w:eastAsia="Times New Roman" w:hAnsi="Arial" w:cs="Arial"/>
                <w:color w:val="2F2F2F"/>
                <w:sz w:val="18"/>
                <w:szCs w:val="18"/>
                <w:lang w:eastAsia="es-MX"/>
              </w:rPr>
            </w:pPr>
            <w:r w:rsidRPr="00F237A2">
              <w:rPr>
                <w:rFonts w:ascii="Arial" w:eastAsia="Times New Roman" w:hAnsi="Arial" w:cs="Arial"/>
                <w:color w:val="000000"/>
                <w:sz w:val="18"/>
                <w:szCs w:val="18"/>
                <w:lang w:eastAsia="es-MX"/>
              </w:rPr>
              <w:t xml:space="preserve">Los créditos fiscales determinados por retención de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por concepto de sueldos y salarios y asimilados a salarios, que hayan sido liquidados al 100 por ciento, podrán considerarse para efectos de la validación del </w:t>
            </w:r>
            <w:proofErr w:type="spellStart"/>
            <w:r w:rsidRPr="00F237A2">
              <w:rPr>
                <w:rFonts w:ascii="Arial" w:eastAsia="Times New Roman" w:hAnsi="Arial" w:cs="Arial"/>
                <w:color w:val="000000"/>
                <w:sz w:val="18"/>
                <w:szCs w:val="18"/>
                <w:lang w:eastAsia="es-MX"/>
              </w:rPr>
              <w:t>ISR</w:t>
            </w:r>
            <w:proofErr w:type="spellEnd"/>
            <w:r w:rsidRPr="00F237A2">
              <w:rPr>
                <w:rFonts w:ascii="Arial" w:eastAsia="Times New Roman" w:hAnsi="Arial" w:cs="Arial"/>
                <w:color w:val="000000"/>
                <w:sz w:val="18"/>
                <w:szCs w:val="18"/>
                <w:lang w:eastAsia="es-MX"/>
              </w:rPr>
              <w:t xml:space="preserve"> participable, únicamente por lo que corresponde a la contribución y actualizaciones.</w:t>
            </w:r>
          </w:p>
          <w:p w14:paraId="1B904D6F" w14:textId="77777777" w:rsidR="00F237A2" w:rsidRDefault="00F237A2" w:rsidP="00EB4A8D">
            <w:pPr>
              <w:jc w:val="both"/>
              <w:rPr>
                <w:rFonts w:ascii="Arial" w:hAnsi="Arial"/>
                <w:color w:val="000000"/>
                <w:sz w:val="18"/>
                <w:szCs w:val="18"/>
                <w:lang w:val="es-ES" w:eastAsia="es-ES"/>
              </w:rPr>
            </w:pPr>
          </w:p>
          <w:p w14:paraId="6ED67FA4" w14:textId="45EFCCCA" w:rsidR="00FD46EE" w:rsidRDefault="00FD46EE" w:rsidP="00EB4A8D">
            <w:pPr>
              <w:jc w:val="both"/>
              <w:rPr>
                <w:rFonts w:ascii="Arial" w:hAnsi="Arial"/>
                <w:color w:val="000000"/>
                <w:sz w:val="18"/>
                <w:szCs w:val="18"/>
                <w:lang w:val="es-ES" w:eastAsia="es-ES"/>
              </w:rPr>
            </w:pPr>
          </w:p>
        </w:tc>
      </w:tr>
      <w:tr w:rsidR="00FD46EE" w:rsidRPr="000D4D13" w14:paraId="05DBFD85" w14:textId="77777777" w:rsidTr="00FD46EE">
        <w:trPr>
          <w:trHeight w:val="277"/>
        </w:trPr>
        <w:tc>
          <w:tcPr>
            <w:tcW w:w="617" w:type="dxa"/>
            <w:tcBorders>
              <w:top w:val="single" w:sz="4" w:space="0" w:color="auto"/>
              <w:bottom w:val="single" w:sz="4" w:space="0" w:color="auto"/>
            </w:tcBorders>
          </w:tcPr>
          <w:p w14:paraId="52EF10E8" w14:textId="77777777" w:rsidR="00FD46EE" w:rsidRPr="000D4D13" w:rsidRDefault="00FD46EE" w:rsidP="00EB4A8D">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386886FF"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single" w:sz="4" w:space="0" w:color="auto"/>
            </w:tcBorders>
          </w:tcPr>
          <w:p w14:paraId="1D0FC200"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009239EB" w14:textId="77777777" w:rsidR="00FD46EE" w:rsidRPr="00EB4A8D" w:rsidRDefault="00FD46EE" w:rsidP="00EB4A8D">
            <w:pPr>
              <w:jc w:val="both"/>
              <w:rPr>
                <w:rFonts w:ascii="HelveticaNeueLT Std" w:hAnsi="HelveticaNeueLT Std"/>
                <w:b/>
                <w:bCs/>
                <w:sz w:val="20"/>
                <w:szCs w:val="20"/>
              </w:rPr>
            </w:pPr>
          </w:p>
        </w:tc>
        <w:tc>
          <w:tcPr>
            <w:tcW w:w="5812" w:type="dxa"/>
            <w:tcBorders>
              <w:bottom w:val="single" w:sz="4" w:space="0" w:color="auto"/>
            </w:tcBorders>
          </w:tcPr>
          <w:p w14:paraId="2A9EAD4A" w14:textId="77777777" w:rsidR="00FD46EE" w:rsidRPr="00FD46EE" w:rsidRDefault="00FD46EE" w:rsidP="00FD46EE">
            <w:pPr>
              <w:pStyle w:val="Prrafodelista"/>
              <w:numPr>
                <w:ilvl w:val="0"/>
                <w:numId w:val="4"/>
              </w:numPr>
              <w:shd w:val="clear" w:color="auto" w:fill="FFFFFF"/>
              <w:jc w:val="both"/>
              <w:rPr>
                <w:rFonts w:ascii="Arial" w:eastAsia="Times New Roman" w:hAnsi="Arial" w:cs="Arial"/>
                <w:color w:val="2F2F2F"/>
                <w:sz w:val="18"/>
                <w:szCs w:val="18"/>
                <w:lang w:eastAsia="es-MX"/>
              </w:rPr>
            </w:pPr>
            <w:r w:rsidRPr="00FD46EE">
              <w:rPr>
                <w:rFonts w:ascii="Arial" w:eastAsia="Times New Roman" w:hAnsi="Arial" w:cs="Arial"/>
                <w:color w:val="000000"/>
                <w:sz w:val="18"/>
                <w:szCs w:val="18"/>
                <w:lang w:eastAsia="es-MX"/>
              </w:rPr>
              <w:t xml:space="preserve">El </w:t>
            </w:r>
            <w:proofErr w:type="spellStart"/>
            <w:r w:rsidRPr="00FD46EE">
              <w:rPr>
                <w:rFonts w:ascii="Arial" w:eastAsia="Times New Roman" w:hAnsi="Arial" w:cs="Arial"/>
                <w:color w:val="000000"/>
                <w:sz w:val="18"/>
                <w:szCs w:val="18"/>
                <w:lang w:eastAsia="es-MX"/>
              </w:rPr>
              <w:t>SAT</w:t>
            </w:r>
            <w:proofErr w:type="spellEnd"/>
            <w:r w:rsidRPr="00FD46EE">
              <w:rPr>
                <w:rFonts w:ascii="Arial" w:eastAsia="Times New Roman" w:hAnsi="Arial" w:cs="Arial"/>
                <w:color w:val="000000"/>
                <w:sz w:val="18"/>
                <w:szCs w:val="18"/>
                <w:lang w:eastAsia="es-MX"/>
              </w:rPr>
              <w:t xml:space="preserve">, a través de la Administración General de Recaudación, realizará de forma mensual el Proceso de Validación del </w:t>
            </w:r>
            <w:proofErr w:type="spellStart"/>
            <w:r w:rsidRPr="00FD46EE">
              <w:rPr>
                <w:rFonts w:ascii="Arial" w:eastAsia="Times New Roman" w:hAnsi="Arial" w:cs="Arial"/>
                <w:color w:val="000000"/>
                <w:sz w:val="18"/>
                <w:szCs w:val="18"/>
                <w:lang w:eastAsia="es-MX"/>
              </w:rPr>
              <w:t>ISR</w:t>
            </w:r>
            <w:proofErr w:type="spellEnd"/>
            <w:r w:rsidRPr="00FD46EE">
              <w:rPr>
                <w:rFonts w:ascii="Arial" w:eastAsia="Times New Roman" w:hAnsi="Arial" w:cs="Arial"/>
                <w:color w:val="000000"/>
                <w:sz w:val="18"/>
                <w:szCs w:val="18"/>
                <w:lang w:eastAsia="es-MX"/>
              </w:rPr>
              <w:t xml:space="preserve"> participable considerando los doce meses previos al mes de validación.</w:t>
            </w:r>
          </w:p>
          <w:p w14:paraId="246AB378" w14:textId="77777777" w:rsidR="00FD46EE" w:rsidRPr="00FD46EE" w:rsidRDefault="00FD46EE" w:rsidP="00FD46EE">
            <w:pPr>
              <w:pStyle w:val="Prrafodelista"/>
              <w:shd w:val="clear" w:color="auto" w:fill="FFFFFF"/>
              <w:jc w:val="both"/>
              <w:rPr>
                <w:rFonts w:ascii="Arial" w:eastAsia="Times New Roman" w:hAnsi="Arial" w:cs="Arial"/>
                <w:color w:val="2F2F2F"/>
                <w:sz w:val="18"/>
                <w:szCs w:val="18"/>
                <w:lang w:eastAsia="es-MX"/>
              </w:rPr>
            </w:pPr>
            <w:r w:rsidRPr="00FD46EE">
              <w:rPr>
                <w:rFonts w:ascii="Arial" w:eastAsia="Times New Roman" w:hAnsi="Arial" w:cs="Arial"/>
                <w:color w:val="000000"/>
                <w:sz w:val="18"/>
                <w:szCs w:val="18"/>
                <w:lang w:eastAsia="es-MX"/>
              </w:rPr>
              <w:t xml:space="preserve">Tratándose de periodos anteriores a los previstos en el párrafo anterior, serán sujetos de ajuste los periodos ya validados en los que se haya realizado cambio en el timbrado de los </w:t>
            </w:r>
            <w:proofErr w:type="spellStart"/>
            <w:r w:rsidRPr="00FD46EE">
              <w:rPr>
                <w:rFonts w:ascii="Arial" w:eastAsia="Times New Roman" w:hAnsi="Arial" w:cs="Arial"/>
                <w:color w:val="000000"/>
                <w:sz w:val="18"/>
                <w:szCs w:val="18"/>
                <w:lang w:eastAsia="es-MX"/>
              </w:rPr>
              <w:t>CFDI</w:t>
            </w:r>
            <w:proofErr w:type="spellEnd"/>
            <w:r w:rsidRPr="00FD46EE">
              <w:rPr>
                <w:rFonts w:ascii="Arial" w:eastAsia="Times New Roman" w:hAnsi="Arial" w:cs="Arial"/>
                <w:color w:val="000000"/>
                <w:sz w:val="18"/>
                <w:szCs w:val="18"/>
                <w:lang w:eastAsia="es-MX"/>
              </w:rPr>
              <w:t xml:space="preserve"> o en el entero del </w:t>
            </w:r>
            <w:proofErr w:type="spellStart"/>
            <w:r w:rsidRPr="00FD46EE">
              <w:rPr>
                <w:rFonts w:ascii="Arial" w:eastAsia="Times New Roman" w:hAnsi="Arial" w:cs="Arial"/>
                <w:color w:val="000000"/>
                <w:sz w:val="18"/>
                <w:szCs w:val="18"/>
                <w:lang w:eastAsia="es-MX"/>
              </w:rPr>
              <w:t>ISR</w:t>
            </w:r>
            <w:proofErr w:type="spellEnd"/>
            <w:r w:rsidRPr="00FD46EE">
              <w:rPr>
                <w:rFonts w:ascii="Arial" w:eastAsia="Times New Roman" w:hAnsi="Arial" w:cs="Arial"/>
                <w:color w:val="000000"/>
                <w:sz w:val="18"/>
                <w:szCs w:val="18"/>
                <w:lang w:eastAsia="es-MX"/>
              </w:rPr>
              <w:t>.</w:t>
            </w:r>
          </w:p>
          <w:p w14:paraId="48A5E5AD" w14:textId="77777777" w:rsidR="00FD46EE" w:rsidRDefault="00FD46EE" w:rsidP="00FD46EE">
            <w:pPr>
              <w:shd w:val="clear" w:color="auto" w:fill="FFFFFF"/>
              <w:jc w:val="both"/>
              <w:rPr>
                <w:rFonts w:ascii="Arial" w:eastAsia="Times New Roman" w:hAnsi="Arial" w:cs="Arial"/>
                <w:color w:val="2F2F2F"/>
                <w:sz w:val="18"/>
                <w:szCs w:val="18"/>
                <w:lang w:eastAsia="es-MX"/>
              </w:rPr>
            </w:pPr>
          </w:p>
          <w:p w14:paraId="1CBC73D1" w14:textId="348AB747" w:rsidR="00FD46EE" w:rsidRPr="00FD46EE" w:rsidRDefault="00FD46EE" w:rsidP="00FD46EE">
            <w:pPr>
              <w:pStyle w:val="Prrafodelista"/>
              <w:numPr>
                <w:ilvl w:val="0"/>
                <w:numId w:val="4"/>
              </w:numPr>
              <w:shd w:val="clear" w:color="auto" w:fill="FFFFFF"/>
              <w:jc w:val="both"/>
              <w:rPr>
                <w:rFonts w:ascii="Arial" w:eastAsia="Times New Roman" w:hAnsi="Arial" w:cs="Arial"/>
                <w:color w:val="000000"/>
                <w:sz w:val="18"/>
                <w:szCs w:val="18"/>
                <w:lang w:eastAsia="es-MX"/>
              </w:rPr>
            </w:pPr>
            <w:r w:rsidRPr="00FD46EE">
              <w:rPr>
                <w:rFonts w:ascii="Arial" w:eastAsia="Times New Roman" w:hAnsi="Arial" w:cs="Arial"/>
                <w:color w:val="000000"/>
                <w:sz w:val="18"/>
                <w:szCs w:val="18"/>
                <w:lang w:eastAsia="es-MX"/>
              </w:rPr>
              <w:t xml:space="preserve">Durante el mes en que se realice la validación a que se refiere el numeral Séptimo, primer párrafo, de los presentes Lineamientos, el </w:t>
            </w:r>
            <w:proofErr w:type="spellStart"/>
            <w:r w:rsidRPr="00FD46EE">
              <w:rPr>
                <w:rFonts w:ascii="Arial" w:eastAsia="Times New Roman" w:hAnsi="Arial" w:cs="Arial"/>
                <w:color w:val="000000"/>
                <w:sz w:val="18"/>
                <w:szCs w:val="18"/>
                <w:lang w:eastAsia="es-MX"/>
              </w:rPr>
              <w:t>SAT</w:t>
            </w:r>
            <w:proofErr w:type="spellEnd"/>
            <w:r w:rsidRPr="00FD46EE">
              <w:rPr>
                <w:rFonts w:ascii="Arial" w:eastAsia="Times New Roman" w:hAnsi="Arial" w:cs="Arial"/>
                <w:color w:val="000000"/>
                <w:sz w:val="18"/>
                <w:szCs w:val="18"/>
                <w:lang w:eastAsia="es-MX"/>
              </w:rPr>
              <w:t xml:space="preserve"> no ejercerá sus facultades de comprobación respecto del cumplimiento de obligaciones fiscales relacionadas con el entero del </w:t>
            </w:r>
            <w:proofErr w:type="spellStart"/>
            <w:r w:rsidRPr="00FD46EE">
              <w:rPr>
                <w:rFonts w:ascii="Arial" w:eastAsia="Times New Roman" w:hAnsi="Arial" w:cs="Arial"/>
                <w:color w:val="000000"/>
                <w:sz w:val="18"/>
                <w:szCs w:val="18"/>
                <w:lang w:eastAsia="es-MX"/>
              </w:rPr>
              <w:t>ISR</w:t>
            </w:r>
            <w:proofErr w:type="spellEnd"/>
            <w:r w:rsidRPr="00FD46EE">
              <w:rPr>
                <w:rFonts w:ascii="Arial" w:eastAsia="Times New Roman" w:hAnsi="Arial" w:cs="Arial"/>
                <w:color w:val="000000"/>
                <w:sz w:val="18"/>
                <w:szCs w:val="18"/>
                <w:lang w:eastAsia="es-MX"/>
              </w:rPr>
              <w:t xml:space="preserve"> retenido correspondiente al salario del personal que preste o desempeñe un servicio personal subordinado en los Entes Públicos, de los meses que se consideren para la referida validación.</w:t>
            </w:r>
          </w:p>
          <w:p w14:paraId="2729B62B" w14:textId="77777777" w:rsidR="00FD46EE" w:rsidRPr="00FD46EE" w:rsidRDefault="00FD46EE" w:rsidP="00FD46EE">
            <w:pPr>
              <w:shd w:val="clear" w:color="auto" w:fill="FFFFFF"/>
              <w:jc w:val="both"/>
              <w:rPr>
                <w:rFonts w:ascii="Arial" w:eastAsia="Times New Roman" w:hAnsi="Arial" w:cs="Arial"/>
                <w:color w:val="000000"/>
                <w:sz w:val="18"/>
                <w:szCs w:val="18"/>
                <w:lang w:eastAsia="es-MX"/>
              </w:rPr>
            </w:pPr>
          </w:p>
          <w:p w14:paraId="04B3ED26" w14:textId="4C1044BC" w:rsidR="00FD46EE" w:rsidRPr="00FD46EE" w:rsidRDefault="00FD46EE" w:rsidP="00FD46EE">
            <w:pPr>
              <w:pStyle w:val="Prrafodelista"/>
              <w:numPr>
                <w:ilvl w:val="0"/>
                <w:numId w:val="4"/>
              </w:numPr>
              <w:shd w:val="clear" w:color="auto" w:fill="FFFFFF"/>
              <w:jc w:val="both"/>
              <w:rPr>
                <w:rFonts w:ascii="Arial" w:eastAsia="Times New Roman" w:hAnsi="Arial" w:cs="Arial"/>
                <w:color w:val="000000"/>
                <w:sz w:val="18"/>
                <w:szCs w:val="18"/>
                <w:lang w:eastAsia="es-MX"/>
              </w:rPr>
            </w:pPr>
            <w:r w:rsidRPr="00FD46EE">
              <w:rPr>
                <w:rFonts w:ascii="Arial" w:eastAsia="Times New Roman" w:hAnsi="Arial" w:cs="Arial"/>
                <w:color w:val="000000"/>
                <w:sz w:val="18"/>
                <w:szCs w:val="18"/>
                <w:lang w:eastAsia="es-MX"/>
              </w:rPr>
              <w:t xml:space="preserve">Décimo Primero. Derivado del Proceso de Validación mensual del </w:t>
            </w:r>
            <w:proofErr w:type="spellStart"/>
            <w:r w:rsidRPr="00FD46EE">
              <w:rPr>
                <w:rFonts w:ascii="Arial" w:eastAsia="Times New Roman" w:hAnsi="Arial" w:cs="Arial"/>
                <w:color w:val="000000"/>
                <w:sz w:val="18"/>
                <w:szCs w:val="18"/>
                <w:lang w:eastAsia="es-MX"/>
              </w:rPr>
              <w:t>ISR</w:t>
            </w:r>
            <w:proofErr w:type="spellEnd"/>
            <w:r w:rsidRPr="00FD46EE">
              <w:rPr>
                <w:rFonts w:ascii="Arial" w:eastAsia="Times New Roman" w:hAnsi="Arial" w:cs="Arial"/>
                <w:color w:val="000000"/>
                <w:sz w:val="18"/>
                <w:szCs w:val="18"/>
                <w:lang w:eastAsia="es-MX"/>
              </w:rPr>
              <w:t xml:space="preserve"> participable, el </w:t>
            </w:r>
            <w:proofErr w:type="spellStart"/>
            <w:r w:rsidRPr="00FD46EE">
              <w:rPr>
                <w:rFonts w:ascii="Arial" w:eastAsia="Times New Roman" w:hAnsi="Arial" w:cs="Arial"/>
                <w:color w:val="000000"/>
                <w:sz w:val="18"/>
                <w:szCs w:val="18"/>
                <w:lang w:eastAsia="es-MX"/>
              </w:rPr>
              <w:t>SAT</w:t>
            </w:r>
            <w:proofErr w:type="spellEnd"/>
            <w:r w:rsidRPr="00FD46EE">
              <w:rPr>
                <w:rFonts w:ascii="Arial" w:eastAsia="Times New Roman" w:hAnsi="Arial" w:cs="Arial"/>
                <w:color w:val="000000"/>
                <w:sz w:val="18"/>
                <w:szCs w:val="18"/>
                <w:lang w:eastAsia="es-MX"/>
              </w:rPr>
              <w:t xml:space="preserve"> integrará informes de resultados que considerarán:</w:t>
            </w:r>
          </w:p>
          <w:p w14:paraId="059D8494" w14:textId="0A7BA985" w:rsidR="00FD46EE" w:rsidRPr="00FD46EE" w:rsidRDefault="00FD46EE" w:rsidP="00FD46EE">
            <w:pPr>
              <w:pStyle w:val="Prrafodelista"/>
              <w:shd w:val="clear" w:color="auto" w:fill="FFFFFF"/>
              <w:jc w:val="both"/>
              <w:rPr>
                <w:rFonts w:ascii="Arial" w:eastAsia="Times New Roman" w:hAnsi="Arial" w:cs="Arial"/>
                <w:color w:val="000000"/>
                <w:sz w:val="18"/>
                <w:szCs w:val="18"/>
                <w:lang w:eastAsia="es-MX"/>
              </w:rPr>
            </w:pPr>
            <w:r w:rsidRPr="00FD46EE">
              <w:rPr>
                <w:rFonts w:ascii="Arial" w:eastAsia="Times New Roman" w:hAnsi="Arial" w:cs="Arial"/>
                <w:color w:val="000000"/>
                <w:sz w:val="18"/>
                <w:szCs w:val="18"/>
                <w:lang w:eastAsia="es-MX"/>
              </w:rPr>
              <w:t>Importes validados;</w:t>
            </w:r>
          </w:p>
          <w:p w14:paraId="06F3D6F8" w14:textId="17966BA7" w:rsidR="00FD46EE" w:rsidRPr="00FD46EE" w:rsidRDefault="00FD46EE" w:rsidP="00FD46EE">
            <w:pPr>
              <w:pStyle w:val="Prrafodelista"/>
              <w:shd w:val="clear" w:color="auto" w:fill="FFFFFF"/>
              <w:jc w:val="both"/>
              <w:rPr>
                <w:rFonts w:ascii="Arial" w:eastAsia="Times New Roman" w:hAnsi="Arial" w:cs="Arial"/>
                <w:color w:val="000000"/>
                <w:sz w:val="18"/>
                <w:szCs w:val="18"/>
                <w:lang w:eastAsia="es-MX"/>
              </w:rPr>
            </w:pPr>
            <w:r w:rsidRPr="00FD46EE">
              <w:rPr>
                <w:rFonts w:ascii="Arial" w:eastAsia="Times New Roman" w:hAnsi="Arial" w:cs="Arial"/>
                <w:color w:val="000000"/>
                <w:sz w:val="18"/>
                <w:szCs w:val="18"/>
                <w:lang w:eastAsia="es-MX"/>
              </w:rPr>
              <w:t>Ajustes, y</w:t>
            </w:r>
          </w:p>
          <w:p w14:paraId="538A9A38" w14:textId="07A2298C" w:rsidR="00FD46EE" w:rsidRPr="00FD46EE" w:rsidRDefault="00FD46EE" w:rsidP="00FD46EE">
            <w:pPr>
              <w:pStyle w:val="Prrafodelista"/>
              <w:shd w:val="clear" w:color="auto" w:fill="FFFFFF"/>
              <w:jc w:val="both"/>
              <w:rPr>
                <w:rFonts w:ascii="Arial" w:eastAsia="Times New Roman" w:hAnsi="Arial" w:cs="Arial"/>
                <w:color w:val="000000"/>
                <w:sz w:val="18"/>
                <w:szCs w:val="18"/>
                <w:lang w:eastAsia="es-MX"/>
              </w:rPr>
            </w:pPr>
            <w:r w:rsidRPr="00FD46EE">
              <w:rPr>
                <w:rFonts w:ascii="Arial" w:eastAsia="Times New Roman" w:hAnsi="Arial" w:cs="Arial"/>
                <w:color w:val="000000"/>
                <w:sz w:val="18"/>
                <w:szCs w:val="18"/>
                <w:lang w:eastAsia="es-MX"/>
              </w:rPr>
              <w:t>Devoluciones.</w:t>
            </w:r>
          </w:p>
          <w:p w14:paraId="3935E9D0" w14:textId="77777777" w:rsidR="00FD46EE" w:rsidRDefault="00FD46EE" w:rsidP="00FD46EE">
            <w:pPr>
              <w:shd w:val="clear" w:color="auto" w:fill="FFFFFF"/>
              <w:jc w:val="both"/>
              <w:rPr>
                <w:rFonts w:ascii="Arial" w:eastAsia="Times New Roman" w:hAnsi="Arial" w:cs="Arial"/>
                <w:color w:val="000000"/>
                <w:sz w:val="18"/>
                <w:szCs w:val="18"/>
                <w:lang w:eastAsia="es-MX"/>
              </w:rPr>
            </w:pPr>
          </w:p>
          <w:p w14:paraId="7C561161" w14:textId="77777777" w:rsidR="00FD46EE" w:rsidRPr="00FD46EE" w:rsidRDefault="00FD46EE" w:rsidP="00FD46EE">
            <w:pPr>
              <w:pStyle w:val="Prrafodelista"/>
              <w:numPr>
                <w:ilvl w:val="0"/>
                <w:numId w:val="4"/>
              </w:numPr>
              <w:shd w:val="clear" w:color="auto" w:fill="FFFFFF"/>
              <w:jc w:val="both"/>
              <w:rPr>
                <w:rFonts w:ascii="Arial" w:hAnsi="Arial" w:cs="Arial"/>
                <w:color w:val="000000"/>
                <w:sz w:val="18"/>
                <w:szCs w:val="18"/>
                <w:shd w:val="clear" w:color="auto" w:fill="FFFFFF"/>
              </w:rPr>
            </w:pPr>
            <w:r w:rsidRPr="00FD46EE">
              <w:rPr>
                <w:rFonts w:ascii="Arial" w:hAnsi="Arial" w:cs="Arial"/>
                <w:color w:val="000000"/>
                <w:sz w:val="18"/>
                <w:szCs w:val="18"/>
                <w:shd w:val="clear" w:color="auto" w:fill="FFFFFF"/>
              </w:rPr>
              <w:t>Los presentes Lineamientos entrarán en vigor a partir del día </w:t>
            </w:r>
            <w:r w:rsidRPr="00FD46EE">
              <w:rPr>
                <w:rFonts w:ascii="Arial" w:hAnsi="Arial" w:cs="Arial"/>
                <w:color w:val="000000"/>
                <w:sz w:val="18"/>
                <w:szCs w:val="18"/>
                <w:shd w:val="clear" w:color="auto" w:fill="FFFFFF"/>
              </w:rPr>
              <w:t xml:space="preserve">22 de abril del 2022. </w:t>
            </w:r>
          </w:p>
          <w:p w14:paraId="2BFBB00B" w14:textId="77777777" w:rsidR="00FD46EE" w:rsidRDefault="00FD46EE" w:rsidP="00FD46EE">
            <w:pPr>
              <w:shd w:val="clear" w:color="auto" w:fill="FFFFFF"/>
              <w:jc w:val="both"/>
              <w:rPr>
                <w:rFonts w:ascii="Arial" w:eastAsia="Times New Roman" w:hAnsi="Arial" w:cs="Arial"/>
                <w:color w:val="000000"/>
                <w:sz w:val="18"/>
                <w:szCs w:val="18"/>
                <w:lang w:eastAsia="es-MX"/>
              </w:rPr>
            </w:pPr>
          </w:p>
          <w:p w14:paraId="75CB9C9E" w14:textId="77777777" w:rsidR="00FD46EE" w:rsidRPr="00FD46EE" w:rsidRDefault="00FD46EE" w:rsidP="00FD46EE">
            <w:pPr>
              <w:pStyle w:val="Prrafodelista"/>
              <w:numPr>
                <w:ilvl w:val="0"/>
                <w:numId w:val="4"/>
              </w:numPr>
              <w:shd w:val="clear" w:color="auto" w:fill="FFFFFF"/>
              <w:jc w:val="both"/>
              <w:rPr>
                <w:rFonts w:ascii="Arial" w:eastAsia="Times New Roman" w:hAnsi="Arial" w:cs="Arial"/>
                <w:color w:val="000000"/>
                <w:sz w:val="18"/>
                <w:szCs w:val="18"/>
                <w:lang w:eastAsia="es-MX"/>
              </w:rPr>
            </w:pPr>
            <w:r w:rsidRPr="00FD46EE">
              <w:rPr>
                <w:rFonts w:ascii="Arial" w:hAnsi="Arial" w:cs="Arial"/>
                <w:color w:val="000000"/>
                <w:sz w:val="18"/>
                <w:szCs w:val="18"/>
                <w:shd w:val="clear" w:color="auto" w:fill="FFFFFF"/>
              </w:rPr>
              <w:t>Durante el ejercicio fiscal 2022,</w:t>
            </w:r>
            <w:r w:rsidRPr="00FD46EE">
              <w:rPr>
                <w:rFonts w:ascii="Arial" w:hAnsi="Arial" w:cs="Arial"/>
                <w:b/>
                <w:bCs/>
                <w:color w:val="000000"/>
                <w:sz w:val="18"/>
                <w:szCs w:val="18"/>
                <w:shd w:val="clear" w:color="auto" w:fill="FFFFFF"/>
              </w:rPr>
              <w:t> </w:t>
            </w:r>
            <w:r w:rsidRPr="00FD46EE">
              <w:rPr>
                <w:rFonts w:ascii="Arial" w:hAnsi="Arial" w:cs="Arial"/>
                <w:color w:val="000000"/>
                <w:sz w:val="18"/>
                <w:szCs w:val="18"/>
                <w:shd w:val="clear" w:color="auto" w:fill="FFFFFF"/>
              </w:rPr>
              <w:t xml:space="preserve">las Entidades Federativas podrán solicitar al </w:t>
            </w:r>
            <w:proofErr w:type="spellStart"/>
            <w:r w:rsidRPr="00FD46EE">
              <w:rPr>
                <w:rFonts w:ascii="Arial" w:hAnsi="Arial" w:cs="Arial"/>
                <w:color w:val="000000"/>
                <w:sz w:val="18"/>
                <w:szCs w:val="18"/>
                <w:shd w:val="clear" w:color="auto" w:fill="FFFFFF"/>
              </w:rPr>
              <w:t>SAT</w:t>
            </w:r>
            <w:proofErr w:type="spellEnd"/>
            <w:r w:rsidRPr="00FD46EE">
              <w:rPr>
                <w:rFonts w:ascii="Arial" w:hAnsi="Arial" w:cs="Arial"/>
                <w:color w:val="000000"/>
                <w:sz w:val="18"/>
                <w:szCs w:val="18"/>
                <w:shd w:val="clear" w:color="auto" w:fill="FFFFFF"/>
              </w:rPr>
              <w:t xml:space="preserve"> se lleve a cabo el Proceso de Validación de los cinco ejercicios fiscales anteriores, por la regularización en el cumplimiento de las obligaciones fiscales en materia del </w:t>
            </w:r>
            <w:proofErr w:type="spellStart"/>
            <w:r w:rsidRPr="00FD46EE">
              <w:rPr>
                <w:rFonts w:ascii="Arial" w:hAnsi="Arial" w:cs="Arial"/>
                <w:color w:val="000000"/>
                <w:sz w:val="18"/>
                <w:szCs w:val="18"/>
                <w:shd w:val="clear" w:color="auto" w:fill="FFFFFF"/>
              </w:rPr>
              <w:t>ISR</w:t>
            </w:r>
            <w:proofErr w:type="spellEnd"/>
            <w:r w:rsidRPr="00FD46EE">
              <w:rPr>
                <w:rFonts w:ascii="Arial" w:hAnsi="Arial" w:cs="Arial"/>
                <w:color w:val="000000"/>
                <w:sz w:val="18"/>
                <w:szCs w:val="18"/>
                <w:shd w:val="clear" w:color="auto" w:fill="FFFFFF"/>
              </w:rPr>
              <w:t xml:space="preserve"> retenido, relativo al salario del personal que preste o desempeñe un servicio personal subordinado en los Entes Públicos.</w:t>
            </w:r>
          </w:p>
          <w:p w14:paraId="05EC397D" w14:textId="77777777" w:rsidR="00FD46EE" w:rsidRPr="00FD46EE" w:rsidRDefault="00FD46EE" w:rsidP="00FD46EE">
            <w:pPr>
              <w:pStyle w:val="Prrafodelista"/>
              <w:rPr>
                <w:rFonts w:ascii="Arial" w:eastAsia="Times New Roman" w:hAnsi="Arial" w:cs="Arial"/>
                <w:color w:val="000000"/>
                <w:sz w:val="18"/>
                <w:szCs w:val="18"/>
                <w:lang w:eastAsia="es-MX"/>
              </w:rPr>
            </w:pPr>
          </w:p>
          <w:p w14:paraId="48C43A1E" w14:textId="77777777" w:rsidR="00FD46EE" w:rsidRPr="00FD46EE" w:rsidRDefault="00FD46EE" w:rsidP="00FD46EE">
            <w:pPr>
              <w:pStyle w:val="Prrafodelista"/>
              <w:numPr>
                <w:ilvl w:val="0"/>
                <w:numId w:val="4"/>
              </w:numPr>
              <w:shd w:val="clear" w:color="auto" w:fill="FFFFFF"/>
              <w:jc w:val="both"/>
              <w:rPr>
                <w:rFonts w:ascii="Arial" w:eastAsia="Times New Roman" w:hAnsi="Arial" w:cs="Arial"/>
                <w:color w:val="000000"/>
                <w:sz w:val="18"/>
                <w:szCs w:val="18"/>
                <w:lang w:eastAsia="es-MX"/>
              </w:rPr>
            </w:pPr>
            <w:r>
              <w:rPr>
                <w:rFonts w:ascii="Arial" w:hAnsi="Arial" w:cs="Arial"/>
                <w:color w:val="000000"/>
                <w:sz w:val="18"/>
                <w:szCs w:val="18"/>
                <w:shd w:val="clear" w:color="auto" w:fill="FFFFFF"/>
              </w:rPr>
              <w:t xml:space="preserve">El </w:t>
            </w:r>
            <w:proofErr w:type="spellStart"/>
            <w:r>
              <w:rPr>
                <w:rFonts w:ascii="Arial" w:hAnsi="Arial" w:cs="Arial"/>
                <w:color w:val="000000"/>
                <w:sz w:val="18"/>
                <w:szCs w:val="18"/>
                <w:shd w:val="clear" w:color="auto" w:fill="FFFFFF"/>
              </w:rPr>
              <w:t>SAT</w:t>
            </w:r>
            <w:proofErr w:type="spellEnd"/>
            <w:r>
              <w:rPr>
                <w:rFonts w:ascii="Arial" w:hAnsi="Arial" w:cs="Arial"/>
                <w:color w:val="000000"/>
                <w:sz w:val="18"/>
                <w:szCs w:val="18"/>
                <w:shd w:val="clear" w:color="auto" w:fill="FFFFFF"/>
              </w:rPr>
              <w:t xml:space="preserve"> deberá emitir las disposiciones operativas necesarias para la correcta y debida aplicación de los presentes Lineamientos, a más tardar dentro de los 90 días naturales siguientes a la entrada en vigor de los mismos.</w:t>
            </w:r>
          </w:p>
          <w:p w14:paraId="7B4D1B00" w14:textId="77777777" w:rsidR="00FD46EE" w:rsidRPr="00FD46EE" w:rsidRDefault="00FD46EE" w:rsidP="00FD46EE">
            <w:pPr>
              <w:pStyle w:val="Prrafodelista"/>
              <w:rPr>
                <w:rFonts w:ascii="Arial" w:eastAsia="Times New Roman" w:hAnsi="Arial" w:cs="Arial"/>
                <w:color w:val="000000"/>
                <w:sz w:val="18"/>
                <w:szCs w:val="18"/>
                <w:lang w:eastAsia="es-MX"/>
              </w:rPr>
            </w:pPr>
          </w:p>
          <w:p w14:paraId="04C49D87" w14:textId="551604D5" w:rsidR="00FD46EE" w:rsidRPr="00FD46EE" w:rsidRDefault="00FD46EE" w:rsidP="00FD46EE">
            <w:pPr>
              <w:pStyle w:val="Prrafodelista"/>
              <w:shd w:val="clear" w:color="auto" w:fill="FFFFFF"/>
              <w:jc w:val="both"/>
              <w:rPr>
                <w:rFonts w:ascii="Arial" w:eastAsia="Times New Roman" w:hAnsi="Arial" w:cs="Arial"/>
                <w:color w:val="000000"/>
                <w:sz w:val="18"/>
                <w:szCs w:val="18"/>
                <w:lang w:eastAsia="es-MX"/>
              </w:rPr>
            </w:pPr>
          </w:p>
        </w:tc>
      </w:tr>
      <w:tr w:rsidR="00FD46EE" w:rsidRPr="000D4D13" w14:paraId="29EEA7C5" w14:textId="77777777" w:rsidTr="00FD46EE">
        <w:trPr>
          <w:trHeight w:val="277"/>
        </w:trPr>
        <w:tc>
          <w:tcPr>
            <w:tcW w:w="617" w:type="dxa"/>
            <w:tcBorders>
              <w:top w:val="single" w:sz="4" w:space="0" w:color="auto"/>
              <w:bottom w:val="nil"/>
            </w:tcBorders>
          </w:tcPr>
          <w:p w14:paraId="703CF3D8" w14:textId="77777777" w:rsidR="00FD46EE" w:rsidRPr="000D4D13" w:rsidRDefault="00FD46EE" w:rsidP="00EB4A8D">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6D638BBF"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1EF50185"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38480AC8" w14:textId="77777777" w:rsidR="00FD46EE" w:rsidRPr="00EB4A8D" w:rsidRDefault="00FD46EE" w:rsidP="00EB4A8D">
            <w:pPr>
              <w:jc w:val="both"/>
              <w:rPr>
                <w:rFonts w:ascii="HelveticaNeueLT Std" w:hAnsi="HelveticaNeueLT Std"/>
                <w:b/>
                <w:bCs/>
                <w:sz w:val="20"/>
                <w:szCs w:val="20"/>
              </w:rPr>
            </w:pPr>
          </w:p>
        </w:tc>
        <w:tc>
          <w:tcPr>
            <w:tcW w:w="5812" w:type="dxa"/>
            <w:tcBorders>
              <w:bottom w:val="nil"/>
            </w:tcBorders>
          </w:tcPr>
          <w:p w14:paraId="3ED26EBA" w14:textId="1BC9610D" w:rsidR="00FD46EE" w:rsidRPr="00FD46EE" w:rsidRDefault="00FD46EE" w:rsidP="00FD46EE">
            <w:pPr>
              <w:pStyle w:val="Prrafodelista"/>
              <w:numPr>
                <w:ilvl w:val="0"/>
                <w:numId w:val="4"/>
              </w:numPr>
              <w:shd w:val="clear" w:color="auto" w:fill="FFFFFF"/>
              <w:jc w:val="both"/>
              <w:rPr>
                <w:rFonts w:ascii="Arial" w:eastAsia="Times New Roman" w:hAnsi="Arial" w:cs="Arial"/>
                <w:color w:val="000000"/>
                <w:sz w:val="18"/>
                <w:szCs w:val="18"/>
                <w:lang w:eastAsia="es-MX"/>
              </w:rPr>
            </w:pPr>
            <w:r>
              <w:rPr>
                <w:rFonts w:ascii="Arial" w:hAnsi="Arial" w:cs="Arial"/>
                <w:color w:val="000000"/>
                <w:sz w:val="18"/>
                <w:szCs w:val="18"/>
                <w:shd w:val="clear" w:color="auto" w:fill="FFFFFF"/>
              </w:rPr>
              <w:t xml:space="preserve">La </w:t>
            </w:r>
            <w:r>
              <w:rPr>
                <w:rFonts w:ascii="Arial" w:hAnsi="Arial" w:cs="Arial"/>
                <w:color w:val="2F2F2F"/>
                <w:sz w:val="18"/>
                <w:szCs w:val="18"/>
                <w:shd w:val="clear" w:color="auto" w:fill="FFFFFF"/>
              </w:rPr>
              <w:t>Unidad de Coordinación con Entidades Federativas</w:t>
            </w:r>
            <w:r>
              <w:rPr>
                <w:rFonts w:ascii="Arial" w:hAnsi="Arial" w:cs="Arial"/>
                <w:color w:val="000000"/>
                <w:sz w:val="18"/>
                <w:szCs w:val="18"/>
                <w:shd w:val="clear" w:color="auto" w:fill="FFFFFF"/>
              </w:rPr>
              <w:t xml:space="preserve">, dentro de los 90 días naturales siguientes a la entrada en vigor de los presentes Lineamientos, deberá emitir las disposiciones operativas necesarias que regulen, entre otros, la adhesión de los Entes Públicos al Proceso de Validación del </w:t>
            </w:r>
            <w:proofErr w:type="spellStart"/>
            <w:r>
              <w:rPr>
                <w:rFonts w:ascii="Arial" w:hAnsi="Arial" w:cs="Arial"/>
                <w:color w:val="000000"/>
                <w:sz w:val="18"/>
                <w:szCs w:val="18"/>
                <w:shd w:val="clear" w:color="auto" w:fill="FFFFFF"/>
              </w:rPr>
              <w:t>ISR</w:t>
            </w:r>
            <w:proofErr w:type="spellEnd"/>
            <w:r>
              <w:rPr>
                <w:rFonts w:ascii="Arial" w:hAnsi="Arial" w:cs="Arial"/>
                <w:color w:val="000000"/>
                <w:sz w:val="18"/>
                <w:szCs w:val="18"/>
                <w:shd w:val="clear" w:color="auto" w:fill="FFFFFF"/>
              </w:rPr>
              <w:t xml:space="preserve"> participable y el envío de esta información al </w:t>
            </w:r>
            <w:proofErr w:type="spellStart"/>
            <w:r>
              <w:rPr>
                <w:rFonts w:ascii="Arial" w:hAnsi="Arial" w:cs="Arial"/>
                <w:color w:val="000000"/>
                <w:sz w:val="18"/>
                <w:szCs w:val="18"/>
                <w:shd w:val="clear" w:color="auto" w:fill="FFFFFF"/>
              </w:rPr>
              <w:t>SAT</w:t>
            </w:r>
            <w:proofErr w:type="spellEnd"/>
            <w:r>
              <w:rPr>
                <w:rFonts w:ascii="Arial" w:hAnsi="Arial" w:cs="Arial"/>
                <w:color w:val="000000"/>
                <w:sz w:val="18"/>
                <w:szCs w:val="18"/>
                <w:shd w:val="clear" w:color="auto" w:fill="FFFFFF"/>
              </w:rPr>
              <w:t>, de acuerdo a lo dispuesto en el numeral Cuarto de estos Lineamientos.</w:t>
            </w:r>
          </w:p>
        </w:tc>
      </w:tr>
      <w:tr w:rsidR="00FD46EE" w:rsidRPr="000D4D13" w14:paraId="3A5A2C73" w14:textId="77777777" w:rsidTr="00FD46EE">
        <w:trPr>
          <w:trHeight w:val="277"/>
        </w:trPr>
        <w:tc>
          <w:tcPr>
            <w:tcW w:w="617" w:type="dxa"/>
            <w:tcBorders>
              <w:top w:val="nil"/>
              <w:bottom w:val="single" w:sz="4" w:space="0" w:color="auto"/>
            </w:tcBorders>
          </w:tcPr>
          <w:p w14:paraId="676358CC" w14:textId="77777777" w:rsidR="00FD46EE" w:rsidRPr="000D4D13" w:rsidRDefault="00FD46EE" w:rsidP="00EB4A8D">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tcPr>
          <w:p w14:paraId="69527E9F"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1CD084E9" w14:textId="77777777" w:rsidR="00FD46EE" w:rsidRPr="00B80921" w:rsidRDefault="00FD46EE" w:rsidP="00EB4A8D">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FD46EE" w14:paraId="54A8D74F" w14:textId="77777777" w:rsidTr="00FD46EE">
              <w:trPr>
                <w:tblCellSpacing w:w="0" w:type="dxa"/>
              </w:trPr>
              <w:tc>
                <w:tcPr>
                  <w:tcW w:w="8832" w:type="dxa"/>
                  <w:shd w:val="clear" w:color="auto" w:fill="FFFFFF"/>
                  <w:vAlign w:val="center"/>
                  <w:hideMark/>
                </w:tcPr>
                <w:p w14:paraId="5DBA5C34" w14:textId="77777777" w:rsidR="00FD46EE" w:rsidRDefault="00FD46EE" w:rsidP="00FD46EE">
                  <w:pPr>
                    <w:jc w:val="both"/>
                    <w:rPr>
                      <w:rFonts w:ascii="Arial" w:hAnsi="Arial" w:cs="Arial"/>
                      <w:color w:val="2F2F2F"/>
                      <w:sz w:val="22"/>
                      <w:szCs w:val="22"/>
                      <w:lang w:eastAsia="es-MX"/>
                    </w:rPr>
                  </w:pPr>
                  <w:hyperlink r:id="rId11" w:history="1">
                    <w:r w:rsidRPr="00FD46EE">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marzo de 2022.</w:t>
                    </w:r>
                  </w:hyperlink>
                </w:p>
              </w:tc>
              <w:tc>
                <w:tcPr>
                  <w:tcW w:w="6" w:type="dxa"/>
                  <w:shd w:val="clear" w:color="auto" w:fill="FFFFFF"/>
                  <w:vAlign w:val="center"/>
                  <w:hideMark/>
                </w:tcPr>
                <w:p w14:paraId="51701A2B" w14:textId="77777777" w:rsidR="00FD46EE" w:rsidRDefault="00FD46EE" w:rsidP="00FD46EE">
                  <w:pPr>
                    <w:rPr>
                      <w:rFonts w:ascii="Arial" w:hAnsi="Arial" w:cs="Arial"/>
                      <w:color w:val="2F2F2F"/>
                      <w:sz w:val="22"/>
                      <w:szCs w:val="22"/>
                    </w:rPr>
                  </w:pPr>
                </w:p>
              </w:tc>
            </w:tr>
            <w:tr w:rsidR="00FD46EE" w14:paraId="73973502" w14:textId="77777777" w:rsidTr="00FD46EE">
              <w:trPr>
                <w:trHeight w:val="180"/>
                <w:tblCellSpacing w:w="0" w:type="dxa"/>
              </w:trPr>
              <w:tc>
                <w:tcPr>
                  <w:tcW w:w="8832" w:type="dxa"/>
                  <w:shd w:val="clear" w:color="auto" w:fill="FFFFFF"/>
                  <w:hideMark/>
                </w:tcPr>
                <w:p w14:paraId="6C58DCEB" w14:textId="20A2521B" w:rsidR="00FD46EE" w:rsidRDefault="00FD46EE" w:rsidP="00FD46EE">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8AB4671" wp14:editId="112DAF14">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282020CE" w14:textId="77777777" w:rsidR="00FD46EE" w:rsidRDefault="00FD46EE" w:rsidP="00FD46EE">
                  <w:pPr>
                    <w:rPr>
                      <w:sz w:val="20"/>
                      <w:szCs w:val="20"/>
                    </w:rPr>
                  </w:pPr>
                </w:p>
              </w:tc>
            </w:tr>
          </w:tbl>
          <w:p w14:paraId="0687AEBF" w14:textId="77777777" w:rsidR="00FD46EE" w:rsidRPr="00EB4A8D" w:rsidRDefault="00FD46EE" w:rsidP="00EB4A8D">
            <w:pPr>
              <w:jc w:val="both"/>
              <w:rPr>
                <w:rFonts w:ascii="HelveticaNeueLT Std" w:hAnsi="HelveticaNeueLT Std"/>
                <w:b/>
                <w:bCs/>
                <w:sz w:val="20"/>
                <w:szCs w:val="20"/>
              </w:rPr>
            </w:pPr>
          </w:p>
        </w:tc>
        <w:tc>
          <w:tcPr>
            <w:tcW w:w="5812" w:type="dxa"/>
            <w:tcBorders>
              <w:top w:val="nil"/>
              <w:bottom w:val="single" w:sz="4" w:space="0" w:color="auto"/>
            </w:tcBorders>
          </w:tcPr>
          <w:p w14:paraId="394C4B1B" w14:textId="77777777" w:rsidR="00FD46EE" w:rsidRDefault="00FD46EE" w:rsidP="00FD46EE">
            <w:pPr>
              <w:shd w:val="clear" w:color="auto" w:fill="FFFFFF"/>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través del presente acuerdo se da a conocer: </w:t>
            </w:r>
          </w:p>
          <w:p w14:paraId="4E41DF3A" w14:textId="77777777" w:rsidR="00FD46EE" w:rsidRDefault="00FD46EE" w:rsidP="00FD46EE">
            <w:pPr>
              <w:shd w:val="clear" w:color="auto" w:fill="FFFFFF"/>
              <w:jc w:val="both"/>
              <w:rPr>
                <w:rFonts w:ascii="Arial" w:hAnsi="Arial" w:cs="Arial"/>
                <w:color w:val="000000"/>
                <w:sz w:val="18"/>
                <w:szCs w:val="18"/>
                <w:shd w:val="clear" w:color="auto" w:fill="FFFFFF"/>
              </w:rPr>
            </w:pPr>
          </w:p>
          <w:p w14:paraId="4A112208" w14:textId="77777777" w:rsidR="00FD46EE" w:rsidRPr="00FD46EE" w:rsidRDefault="00FD46EE" w:rsidP="00FD46EE">
            <w:pPr>
              <w:pStyle w:val="Prrafodelista"/>
              <w:numPr>
                <w:ilvl w:val="0"/>
                <w:numId w:val="8"/>
              </w:numPr>
              <w:shd w:val="clear" w:color="auto" w:fill="FFFFFF"/>
              <w:jc w:val="both"/>
              <w:rPr>
                <w:rFonts w:ascii="Arial" w:hAnsi="Arial" w:cs="Arial"/>
                <w:color w:val="000000"/>
                <w:sz w:val="18"/>
                <w:szCs w:val="18"/>
                <w:shd w:val="clear" w:color="auto" w:fill="FFFFFF"/>
              </w:rPr>
            </w:pPr>
            <w:r w:rsidRPr="00FD46EE">
              <w:rPr>
                <w:rFonts w:ascii="Arial" w:hAnsi="Arial" w:cs="Arial"/>
                <w:color w:val="000000"/>
                <w:sz w:val="18"/>
                <w:szCs w:val="18"/>
                <w:shd w:val="clear" w:color="auto" w:fill="FFFFFF"/>
              </w:rPr>
              <w:t>L</w:t>
            </w:r>
            <w:r w:rsidRPr="00FD46EE">
              <w:rPr>
                <w:rFonts w:ascii="Arial" w:hAnsi="Arial" w:cs="Arial"/>
                <w:color w:val="000000"/>
                <w:sz w:val="18"/>
                <w:szCs w:val="18"/>
                <w:shd w:val="clear" w:color="auto" w:fill="FFFFFF"/>
              </w:rPr>
              <w:t>a recaudación federal participable de febrero de 2022, las participaciones en ingresos federales por el mes de marzo de 2022, así como el procedimiento seguido en la determinación e integración de las mismas, por entidades federativas y, en su caso, por municipios. Las cifras correspondientes al mes de marzo de 2022 no incluyen deducciones derivadas de compromisos financieros contraídos por las entidades federativas.</w:t>
            </w:r>
          </w:p>
          <w:p w14:paraId="79C9D62E" w14:textId="77777777" w:rsidR="00FD46EE" w:rsidRDefault="00FD46EE" w:rsidP="00FD46EE">
            <w:pPr>
              <w:shd w:val="clear" w:color="auto" w:fill="FFFFFF"/>
              <w:jc w:val="both"/>
              <w:rPr>
                <w:rFonts w:ascii="Arial" w:hAnsi="Arial" w:cs="Arial"/>
                <w:color w:val="000000"/>
                <w:sz w:val="18"/>
                <w:szCs w:val="18"/>
                <w:shd w:val="clear" w:color="auto" w:fill="FFFFFF"/>
              </w:rPr>
            </w:pPr>
          </w:p>
          <w:p w14:paraId="1E478F89" w14:textId="0865C694" w:rsidR="00FD46EE" w:rsidRPr="00FD46EE" w:rsidRDefault="00FD46EE" w:rsidP="00FD46EE">
            <w:pPr>
              <w:pStyle w:val="Prrafodelista"/>
              <w:numPr>
                <w:ilvl w:val="0"/>
                <w:numId w:val="8"/>
              </w:numPr>
              <w:shd w:val="clear" w:color="auto" w:fill="FFFFFF"/>
              <w:jc w:val="both"/>
              <w:rPr>
                <w:rFonts w:ascii="Arial" w:hAnsi="Arial" w:cs="Arial"/>
                <w:color w:val="000000"/>
                <w:sz w:val="18"/>
                <w:szCs w:val="18"/>
                <w:shd w:val="clear" w:color="auto" w:fill="FFFFFF"/>
              </w:rPr>
            </w:pPr>
            <w:r w:rsidRPr="00FD46EE">
              <w:rPr>
                <w:rFonts w:ascii="Arial" w:hAnsi="Arial" w:cs="Arial"/>
                <w:color w:val="000000"/>
                <w:sz w:val="18"/>
                <w:szCs w:val="18"/>
                <w:shd w:val="clear" w:color="auto" w:fill="FFFFFF"/>
              </w:rPr>
              <w:t>L</w:t>
            </w:r>
            <w:r w:rsidRPr="00FD46EE">
              <w:rPr>
                <w:rFonts w:ascii="Arial" w:hAnsi="Arial" w:cs="Arial"/>
                <w:color w:val="000000"/>
                <w:sz w:val="18"/>
                <w:szCs w:val="18"/>
                <w:shd w:val="clear" w:color="auto" w:fill="FFFFFF"/>
              </w:rPr>
              <w:t>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2022.</w:t>
            </w: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bookmarkStart w:id="0" w:name="_GoBack"/>
      <w:bookmarkEnd w:id="0"/>
    </w:p>
    <w:sectPr w:rsidR="00F850EE" w:rsidRPr="000D4D13"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704D" w14:textId="77777777" w:rsidR="005F4810" w:rsidRDefault="005F4810" w:rsidP="00FA6D75">
      <w:r>
        <w:separator/>
      </w:r>
    </w:p>
  </w:endnote>
  <w:endnote w:type="continuationSeparator" w:id="0">
    <w:p w14:paraId="535E10D6" w14:textId="77777777" w:rsidR="005F4810" w:rsidRDefault="005F4810"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3960D370"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5D1A30">
              <w:rPr>
                <w:rFonts w:ascii="Arial" w:hAnsi="Arial" w:cs="Arial"/>
                <w:b/>
                <w:bCs/>
                <w:noProof/>
                <w:sz w:val="20"/>
                <w:szCs w:val="20"/>
              </w:rPr>
              <w:t>3</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5D1A30">
              <w:rPr>
                <w:rFonts w:ascii="Arial" w:hAnsi="Arial" w:cs="Arial"/>
                <w:b/>
                <w:bCs/>
                <w:noProof/>
                <w:sz w:val="20"/>
                <w:szCs w:val="20"/>
              </w:rPr>
              <w:t>4</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D419" w14:textId="77777777" w:rsidR="005F4810" w:rsidRDefault="005F4810" w:rsidP="00FA6D75">
      <w:r>
        <w:separator/>
      </w:r>
    </w:p>
  </w:footnote>
  <w:footnote w:type="continuationSeparator" w:id="0">
    <w:p w14:paraId="0D718464" w14:textId="77777777" w:rsidR="005F4810" w:rsidRDefault="005F4810"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6"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7"/>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48450&amp;fecha=08/04/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49872&amp;fecha=22/04/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dof.gob.mx/nota_detalle.php?codigo=5649871&amp;fecha=22/04/20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A87D-2029-440E-93C7-DC589CBC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4</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67</cp:revision>
  <cp:lastPrinted>2021-01-29T22:36:00Z</cp:lastPrinted>
  <dcterms:created xsi:type="dcterms:W3CDTF">2019-01-03T20:20:00Z</dcterms:created>
  <dcterms:modified xsi:type="dcterms:W3CDTF">2022-04-27T21:32:00Z</dcterms:modified>
</cp:coreProperties>
</file>